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Verdana"/>
          <w:b/>
        </w:rPr>
      </w:pPr>
      <w:r>
        <w:rPr>
          <w:rFonts w:cs="Verdana" w:ascii="Verdana" w:hAnsi="Verdana"/>
          <w:b/>
        </w:rPr>
        <w:t>ANEXO III</w:t>
      </w:r>
    </w:p>
    <w:tbl>
      <w:tblPr>
        <w:tblW w:w="9127"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9127"/>
      </w:tblGrid>
      <w:tr>
        <w:trPr>
          <w:trHeight w:val="285" w:hRule="atLeast"/>
        </w:trPr>
        <w:tc>
          <w:tcPr>
            <w:tcW w:w="9127" w:type="dxa"/>
            <w:tcBorders/>
          </w:tcPr>
          <w:p>
            <w:pPr>
              <w:pStyle w:val="Normal"/>
              <w:widowControl w:val="false"/>
              <w:snapToGrid w:val="false"/>
              <w:spacing w:lineRule="auto" w:line="276"/>
              <w:ind w:hanging="70"/>
              <w:rPr>
                <w:rFonts w:ascii="Verdana" w:hAnsi="Verdana" w:cs="Verdana"/>
                <w:b/>
              </w:rPr>
            </w:pPr>
            <w:r>
              <w:rPr>
                <w:rFonts w:cs="Verdana" w:ascii="Verdana" w:hAnsi="Verdana"/>
                <w:b/>
              </w:rPr>
            </w:r>
          </w:p>
          <w:p>
            <w:pPr>
              <w:pStyle w:val="Normal"/>
              <w:widowControl w:val="false"/>
              <w:spacing w:lineRule="auto" w:line="276"/>
              <w:ind w:left="-70"/>
              <w:jc w:val="right"/>
              <w:rPr>
                <w:rFonts w:ascii="Verdana" w:hAnsi="Verdana" w:cs="Verdana"/>
                <w:b/>
              </w:rPr>
            </w:pPr>
            <w:r>
              <w:rPr>
                <w:rFonts w:cs="Verdana" w:ascii="Verdana" w:hAnsi="Verdana"/>
                <w:b/>
              </w:rPr>
              <w:t>MINUTA DE CONTRATO DE PRESTAÇÃO DE SERVIÇOS Nº _____.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rPr>
      </w:pPr>
      <w:r>
        <w:rPr>
          <w:rFonts w:cs="Verdana" w:ascii="Verdana" w:hAnsi="Verdana"/>
          <w:b/>
          <w:u w:val="single"/>
        </w:rPr>
        <w:t>PREÂMBULO</w:t>
      </w:r>
    </w:p>
    <w:p>
      <w:pPr>
        <w:pStyle w:val="Normal"/>
        <w:spacing w:lineRule="auto" w:line="276"/>
        <w:jc w:val="both"/>
        <w:rPr>
          <w:rFonts w:ascii="Verdana" w:hAnsi="Verdana" w:cs="Verdana"/>
          <w:b/>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jc w:val="both"/>
        <w:rPr>
          <w:rFonts w:ascii="Verdana" w:hAnsi="Verdana" w:cs="Verdana"/>
          <w:b/>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76"/>
        <w:jc w:val="both"/>
        <w:rPr>
          <w:rFonts w:ascii="Verdana" w:hAnsi="Verdana" w:cs="Verdana"/>
          <w:b/>
        </w:rPr>
      </w:pPr>
      <w:r>
        <w:rPr>
          <w:rFonts w:cs="Verdana" w:ascii="Verdana" w:hAnsi="Verdana"/>
          <w:b/>
        </w:rPr>
        <w:t>c) REPRESENTANTES</w:t>
      </w:r>
      <w:r>
        <w:rPr>
          <w:rFonts w:cs="Verdana" w:ascii="Verdana" w:hAnsi="Verdana"/>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000000"/>
        </w:rPr>
        <w:t xml:space="preserve">Processo Administrativo nº 0245/2024 de 19/01/2024, </w:t>
      </w:r>
      <w:r>
        <w:rPr>
          <w:rFonts w:cs="Verdana" w:ascii="Verdana" w:hAnsi="Verdana"/>
          <w:b/>
          <w:bCs/>
          <w:color w:val="FF0000"/>
        </w:rPr>
        <w:t>Pregão Eletrônico nº 057/2025</w:t>
      </w:r>
      <w:r>
        <w:rPr>
          <w:rFonts w:eastAsia="Batang;바탕" w:cs="Verdana" w:ascii="Verdana" w:hAnsi="Verdana"/>
          <w:b/>
          <w:bCs/>
          <w:color w:val="FF0000"/>
        </w:rPr>
        <w:t xml:space="preserve"> de 25/08/2025</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cs="Verdana"/>
        </w:rPr>
      </w:pPr>
      <w:r>
        <w:rPr>
          <w:rFonts w:cs="Verdana" w:ascii="Verdana" w:hAnsi="Verdana"/>
          <w:b/>
          <w:u w:val="single"/>
        </w:rPr>
        <w:t>CLÁUSULA PRIMEIRA – DO OBJETO</w:t>
      </w:r>
    </w:p>
    <w:p>
      <w:pPr>
        <w:pStyle w:val="Normal"/>
        <w:numPr>
          <w:ilvl w:val="1"/>
          <w:numId w:val="2"/>
        </w:numPr>
        <w:shd w:val="clear" w:color="auto" w:fill="FFFFFF"/>
        <w:tabs>
          <w:tab w:val="clear" w:pos="708"/>
          <w:tab w:val="left" w:pos="308" w:leader="none"/>
          <w:tab w:val="left" w:pos="450" w:leader="none"/>
        </w:tabs>
        <w:overflowPunct w:val="false"/>
        <w:spacing w:lineRule="auto" w:line="276"/>
        <w:ind w:hanging="0" w:left="0"/>
        <w:jc w:val="both"/>
        <w:textAlignment w:val="auto"/>
        <w:rPr>
          <w:rFonts w:ascii="Verdana" w:hAnsi="Verdana" w:eastAsia="Batang;바탕" w:cs="Verdana"/>
          <w:b/>
        </w:rPr>
      </w:pPr>
      <w:r>
        <w:rPr>
          <w:rFonts w:cs="Verdana" w:ascii="Verdana" w:hAnsi="Verdana"/>
        </w:rPr>
        <w:t xml:space="preserve">O Objeto da presente </w:t>
      </w:r>
      <w:r>
        <w:rPr>
          <w:rFonts w:eastAsia="Batang;바탕" w:cs="Arial" w:ascii="Verdana" w:hAnsi="Verdana"/>
          <w:color w:val="000000"/>
          <w:kern w:val="2"/>
          <w:lang w:eastAsia="en-US" w:bidi="pt-BR"/>
        </w:rPr>
        <w:t>contratação de empresa especializada para prestação de serviços de aferição e manutenção de tacógrafos, com fornecimento de peças (se necessário) para atender aos veículos da Secretaria Municipal de Educação, a fim de obter Certificado de Verificação, válido por 02 (dois) anos, conforme condições, quantidades e exigências estabelecidas neste</w:t>
      </w:r>
      <w:r>
        <w:rPr>
          <w:rFonts w:cs="Verdana" w:ascii="Verdana" w:hAnsi="Verdana"/>
        </w:rPr>
        <w:t xml:space="preserve"> Edital e seus anexos.</w:t>
      </w:r>
    </w:p>
    <w:p>
      <w:pPr>
        <w:pStyle w:val="Normal"/>
        <w:tabs>
          <w:tab w:val="clear" w:pos="708"/>
          <w:tab w:val="left" w:pos="10348" w:leader="none"/>
        </w:tabs>
        <w:spacing w:lineRule="auto" w:line="276"/>
        <w:jc w:val="both"/>
        <w:rPr>
          <w:rFonts w:ascii="Verdana" w:hAnsi="Verdana"/>
        </w:rPr>
      </w:pPr>
      <w:r>
        <w:rPr>
          <w:rFonts w:eastAsia="Batang;바탕" w:cs="Verdana" w:ascii="Verdana" w:hAnsi="Verdana"/>
          <w:b/>
        </w:rPr>
        <w:t>1</w:t>
      </w:r>
      <w:r>
        <w:rPr>
          <w:rFonts w:cs="Verdana" w:ascii="Verdana" w:hAnsi="Verdana"/>
          <w:b/>
        </w:rPr>
        <w:t xml:space="preserve">.2 </w:t>
      </w:r>
      <w:r>
        <w:rPr>
          <w:rFonts w:cs="Verdana" w:ascii="Verdana" w:hAnsi="Verdana"/>
        </w:rPr>
        <w:t>O serviço será executado considerando as seguintes descrições:</w:t>
      </w:r>
    </w:p>
    <w:p>
      <w:pPr>
        <w:pStyle w:val="Normal"/>
        <w:tabs>
          <w:tab w:val="clear" w:pos="708"/>
          <w:tab w:val="left" w:pos="10348" w:leader="none"/>
        </w:tabs>
        <w:spacing w:lineRule="auto" w:line="276"/>
        <w:jc w:val="both"/>
        <w:rPr>
          <w:rFonts w:ascii="Verdana" w:hAnsi="Verdana"/>
        </w:rPr>
      </w:pPr>
      <w:r>
        <w:rPr>
          <w:rFonts w:ascii="Verdana" w:hAnsi="Verdana"/>
        </w:rPr>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945"/>
        <w:gridCol w:w="3405"/>
        <w:gridCol w:w="795"/>
        <w:gridCol w:w="1140"/>
        <w:gridCol w:w="1473"/>
        <w:gridCol w:w="1421"/>
      </w:tblGrid>
      <w:tr>
        <w:trPr>
          <w:trHeight w:val="330" w:hRule="atLeast"/>
        </w:trPr>
        <w:tc>
          <w:tcPr>
            <w:tcW w:w="94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LOTES</w:t>
            </w:r>
          </w:p>
        </w:tc>
        <w:tc>
          <w:tcPr>
            <w:tcW w:w="340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ESPECIFICAÇÃO</w:t>
            </w:r>
          </w:p>
        </w:tc>
        <w:tc>
          <w:tcPr>
            <w:tcW w:w="79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UND.</w:t>
            </w:r>
          </w:p>
        </w:tc>
        <w:tc>
          <w:tcPr>
            <w:tcW w:w="1140"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QUANT.</w:t>
            </w:r>
          </w:p>
        </w:tc>
        <w:tc>
          <w:tcPr>
            <w:tcW w:w="1473"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VALOR ESTIMADO UNITÁRIO</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VALOR ESTIMADO TOTAL</w:t>
            </w:r>
          </w:p>
        </w:tc>
      </w:tr>
      <w:tr>
        <w:trPr/>
        <w:tc>
          <w:tcPr>
            <w:tcW w:w="945"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cs="Verdana"/>
                <w:b/>
                <w:bCs/>
              </w:rPr>
            </w:pPr>
            <w:r>
              <w:rPr>
                <w:rFonts w:cs="Verdana" w:ascii="Verdana" w:hAnsi="Verdana"/>
                <w:b/>
                <w:bCs/>
              </w:rPr>
            </w:r>
          </w:p>
        </w:tc>
        <w:tc>
          <w:tcPr>
            <w:tcW w:w="3405"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795"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140"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473"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r>
    </w:tbl>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iCs/>
        </w:rPr>
      </w:pPr>
      <w:r>
        <w:rPr>
          <w:rFonts w:cs="Verdana" w:ascii="Verdana" w:hAnsi="Verdana"/>
          <w:b/>
          <w:u w:val="single"/>
        </w:rPr>
        <w:t>CLÁUSULA SEGUNDA – DA EXECUÇÃO DOS SERVIÇOS:</w:t>
      </w:r>
    </w:p>
    <w:p>
      <w:pPr>
        <w:pStyle w:val="Normal"/>
        <w:widowControl/>
        <w:numPr>
          <w:ilvl w:val="0"/>
          <w:numId w:val="0"/>
        </w:numPr>
        <w:tabs>
          <w:tab w:val="clear" w:pos="708"/>
          <w:tab w:val="left" w:pos="508" w:leader="none"/>
        </w:tabs>
        <w:suppressAutoHyphens w:val="true"/>
        <w:bidi w:val="0"/>
        <w:spacing w:lineRule="auto" w:line="276" w:before="114" w:after="114"/>
        <w:ind w:hanging="0" w:left="0" w:right="0"/>
        <w:jc w:val="both"/>
        <w:rPr/>
      </w:pPr>
      <w:r>
        <w:rPr>
          <w:rFonts w:ascii="Verdana" w:hAnsi="Verdana"/>
          <w:b/>
          <w:bCs/>
          <w:sz w:val="20"/>
          <w:szCs w:val="20"/>
          <w:shd w:fill="auto" w:val="clear"/>
        </w:rPr>
        <w:t>2.1</w:t>
      </w:r>
      <w:r>
        <w:rPr>
          <w:rFonts w:ascii="Verdana" w:hAnsi="Verdana"/>
          <w:sz w:val="20"/>
          <w:szCs w:val="20"/>
          <w:shd w:fill="auto" w:val="clear"/>
        </w:rPr>
        <w:t xml:space="preserve">. </w:t>
      </w:r>
      <w:r>
        <w:rPr>
          <w:rFonts w:eastAsia="Times New Roman" w:cs="Times New Roman" w:ascii="Verdana" w:hAnsi="Verdana"/>
          <w:color w:val="000000"/>
          <w:kern w:val="0"/>
          <w:sz w:val="20"/>
          <w:szCs w:val="20"/>
          <w:shd w:fill="auto" w:val="clear"/>
          <w:lang w:val="pt-BR" w:eastAsia="pt-BR" w:bidi="ar-SA"/>
        </w:rPr>
        <w:t>Os serviços serão realizados na empresa contratada que deverá se responsabilizar pelos veículos entregues para a realização do serviço, assumindo total responsabilidade por quaisquer danos ou prejuízos causados ao veículo ou a terceiros, enquanto o veículo estiver sob sua guarda.</w:t>
      </w:r>
    </w:p>
    <w:p>
      <w:pPr>
        <w:pStyle w:val="Normal"/>
        <w:tabs>
          <w:tab w:val="clear" w:pos="708"/>
          <w:tab w:val="left" w:pos="508" w:leader="none"/>
        </w:tabs>
        <w:spacing w:lineRule="auto" w:line="276"/>
        <w:ind w:hanging="0" w:left="0" w:right="0"/>
        <w:jc w:val="both"/>
        <w:rPr/>
      </w:pPr>
      <w:r>
        <w:rPr>
          <w:rFonts w:eastAsia="Times New Roman" w:cs="Times New Roman" w:ascii="Verdana" w:hAnsi="Verdana"/>
          <w:b/>
          <w:bCs/>
          <w:color w:val="000000"/>
          <w:kern w:val="0"/>
          <w:sz w:val="20"/>
          <w:szCs w:val="20"/>
          <w:shd w:fill="auto" w:val="clear"/>
          <w:lang w:val="pt-BR" w:eastAsia="pt-BR" w:bidi="ar-SA"/>
        </w:rPr>
        <w:t>2.2</w:t>
      </w:r>
      <w:r>
        <w:rPr>
          <w:rFonts w:eastAsia="Times New Roman" w:cs="Times New Roman" w:ascii="Verdana" w:hAnsi="Verdana"/>
          <w:b w:val="false"/>
          <w:bCs w:val="false"/>
          <w:i w:val="false"/>
          <w:iCs w:val="false"/>
          <w:color w:val="000000"/>
          <w:kern w:val="0"/>
          <w:sz w:val="20"/>
          <w:szCs w:val="20"/>
          <w:shd w:fill="auto" w:val="clear"/>
          <w:lang w:val="pt-BR" w:eastAsia="pt-BR" w:bidi="ar-SA"/>
        </w:rPr>
        <w:t xml:space="preserve"> </w:t>
      </w:r>
      <w:r>
        <w:rPr>
          <w:rFonts w:eastAsia="Times New Roman" w:cs="Arial" w:ascii="Verdana" w:hAnsi="Verdana"/>
          <w:i w:val="false"/>
          <w:iCs w:val="false"/>
          <w:color w:val="000000"/>
          <w:kern w:val="0"/>
          <w:sz w:val="20"/>
          <w:szCs w:val="20"/>
          <w:shd w:fill="auto" w:val="clear"/>
          <w:lang w:val="pt-BR" w:eastAsia="pt-BR" w:bidi="ar-SA"/>
        </w:rPr>
        <w:t>O recebimento provisório ou definitivo do objeto não exclui a responsabilidade da contratada pelos prejuízos resultantes da incorreta execução do contrato.</w:t>
      </w:r>
    </w:p>
    <w:p>
      <w:pPr>
        <w:pStyle w:val="Normal"/>
        <w:tabs>
          <w:tab w:val="clear" w:pos="708"/>
          <w:tab w:val="left" w:pos="508" w:leader="none"/>
        </w:tabs>
        <w:spacing w:lineRule="auto" w:line="276"/>
        <w:ind w:hanging="0" w:left="0" w:right="0"/>
        <w:jc w:val="both"/>
        <w:rPr/>
      </w:pPr>
      <w:r>
        <w:rPr>
          <w:rFonts w:eastAsia="Times New Roman" w:cs="Arial" w:ascii="Verdana" w:hAnsi="Verdana"/>
          <w:b/>
          <w:bCs/>
          <w:i w:val="false"/>
          <w:iCs w:val="false"/>
          <w:color w:val="000000"/>
          <w:kern w:val="0"/>
          <w:sz w:val="20"/>
          <w:szCs w:val="20"/>
          <w:shd w:fill="auto" w:val="clear"/>
          <w:lang w:val="pt-BR" w:eastAsia="pt-BR" w:bidi="ar-SA"/>
        </w:rPr>
        <w:t>2.3</w:t>
      </w:r>
      <w:r>
        <w:rPr>
          <w:rFonts w:eastAsia="Times New Roman" w:cs="Arial" w:ascii="Verdana" w:hAnsi="Verdana"/>
          <w:i w:val="false"/>
          <w:iCs w:val="false"/>
          <w:color w:val="000000"/>
          <w:kern w:val="0"/>
          <w:sz w:val="20"/>
          <w:szCs w:val="20"/>
          <w:shd w:fill="auto" w:val="clear"/>
          <w:lang w:val="pt-BR" w:eastAsia="pt-BR" w:bidi="ar-SA"/>
        </w:rPr>
        <w:t xml:space="preserve"> O contrato deverá ser executado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276"/>
        <w:ind w:hanging="0" w:left="0" w:right="0"/>
        <w:jc w:val="both"/>
        <w:rPr/>
      </w:pPr>
      <w:r>
        <w:rPr>
          <w:rFonts w:eastAsia="Times New Roman" w:cs="Arial" w:ascii="Verdana" w:hAnsi="Verdana"/>
          <w:b/>
          <w:bCs/>
          <w:i w:val="false"/>
          <w:iCs w:val="false"/>
          <w:color w:val="000000"/>
          <w:kern w:val="0"/>
          <w:sz w:val="20"/>
          <w:szCs w:val="20"/>
          <w:shd w:fill="auto" w:val="clear"/>
          <w:lang w:val="pt-BR" w:eastAsia="pt-BR" w:bidi="ar-SA"/>
        </w:rPr>
        <w:t>2.4</w:t>
      </w:r>
      <w:r>
        <w:rPr>
          <w:rFonts w:eastAsia="Times New Roman" w:cs="Arial" w:ascii="Verdana" w:hAnsi="Verdana"/>
          <w:i w:val="false"/>
          <w:iCs w:val="false"/>
          <w:color w:val="000000"/>
          <w:kern w:val="0"/>
          <w:sz w:val="20"/>
          <w:szCs w:val="20"/>
          <w:shd w:fill="auto" w:val="clear"/>
          <w:lang w:val="pt-BR" w:eastAsia="pt-BR" w:bidi="ar-SA"/>
        </w:rPr>
        <w:t xml:space="preserve">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276"/>
        <w:ind w:hanging="0" w:left="0" w:right="0"/>
        <w:jc w:val="both"/>
        <w:rPr/>
      </w:pPr>
      <w:r>
        <w:rPr>
          <w:rFonts w:eastAsia="Times New Roman" w:cs="Arial" w:ascii="Verdana" w:hAnsi="Verdana"/>
          <w:b/>
          <w:bCs/>
          <w:i w:val="false"/>
          <w:iCs w:val="false"/>
          <w:color w:val="000000"/>
          <w:kern w:val="0"/>
          <w:sz w:val="20"/>
          <w:szCs w:val="20"/>
          <w:shd w:fill="auto" w:val="clear"/>
          <w:lang w:val="pt-BR" w:eastAsia="pt-BR" w:bidi="ar-SA"/>
        </w:rPr>
        <w:t>2.5</w:t>
      </w:r>
      <w:r>
        <w:rPr>
          <w:rFonts w:eastAsia="Times New Roman" w:cs="Arial" w:ascii="Verdana" w:hAnsi="Verdana"/>
          <w:i w:val="false"/>
          <w:iCs w:val="false"/>
          <w:color w:val="000000"/>
          <w:kern w:val="0"/>
          <w:sz w:val="20"/>
          <w:szCs w:val="20"/>
          <w:shd w:fill="auto" w:val="clear"/>
          <w:lang w:val="pt-BR" w:eastAsia="pt-BR" w:bidi="ar-SA"/>
        </w:rPr>
        <w:t xml:space="preserve"> O órgão ou entidade poderá convocar representante da empresa para adoção de Providências que devam ser cumpridas de imediato.</w:t>
      </w:r>
    </w:p>
    <w:p>
      <w:pPr>
        <w:pStyle w:val="Nivel2"/>
        <w:spacing w:lineRule="auto" w:line="276" w:before="0" w:after="0"/>
        <w:ind w:hanging="0" w:left="0" w:right="0"/>
        <w:rPr/>
      </w:pPr>
      <w:r>
        <w:rPr>
          <w:rFonts w:cs="Times New Roman" w:ascii="Verdana" w:hAnsi="Verdana"/>
          <w:b/>
          <w:bCs/>
          <w:color w:val="auto"/>
          <w:sz w:val="20"/>
          <w:szCs w:val="20"/>
        </w:rPr>
        <w:t>2.6</w:t>
      </w:r>
      <w:r>
        <w:rPr>
          <w:rFonts w:cs="Times New Roman" w:ascii="Verdana" w:hAnsi="Verdana"/>
          <w:bCs/>
          <w:color w:val="auto"/>
          <w:sz w:val="20"/>
          <w:szCs w:val="20"/>
        </w:rPr>
        <w:t xml:space="preserve"> Os veículos </w:t>
      </w:r>
      <w:r>
        <w:rPr>
          <w:rFonts w:eastAsia="Calibri" w:cs="Times New Roman" w:ascii="Verdana" w:hAnsi="Verdana"/>
          <w:bCs/>
          <w:color w:val="auto"/>
          <w:kern w:val="0"/>
          <w:sz w:val="20"/>
          <w:szCs w:val="20"/>
          <w:lang w:val="pt-BR" w:eastAsia="en-US" w:bidi="ar-SA"/>
        </w:rPr>
        <w:t>(após a execução do serviço/troca de peças)</w:t>
      </w:r>
      <w:r>
        <w:rPr>
          <w:rFonts w:cs="Times New Roman" w:ascii="Verdana" w:hAnsi="Verdana"/>
          <w:bCs/>
          <w:color w:val="auto"/>
          <w:sz w:val="20"/>
          <w:szCs w:val="20"/>
        </w:rPr>
        <w:t xml:space="preserve"> serão recebidos pelo(a) responsável pelo acompanhamento e fiscalização, para efeito de posterior verificação de sua conformidade com as especificações constantes no Contrato e neste Termo de Referência e na proposta.</w:t>
      </w:r>
    </w:p>
    <w:p>
      <w:pPr>
        <w:pStyle w:val="ListParagraph"/>
        <w:tabs>
          <w:tab w:val="clear" w:pos="708"/>
          <w:tab w:val="left" w:pos="508" w:leader="none"/>
        </w:tabs>
        <w:spacing w:lineRule="auto" w:line="276"/>
        <w:ind w:hanging="0" w:left="0" w:right="0"/>
        <w:jc w:val="both"/>
        <w:rPr/>
      </w:pPr>
      <w:r>
        <w:rPr>
          <w:rFonts w:eastAsia="Times New Roman" w:cs="Arial" w:ascii="Verdana" w:hAnsi="Verdana"/>
          <w:b/>
          <w:bCs/>
          <w:i w:val="false"/>
          <w:iCs w:val="false"/>
          <w:color w:val="000000"/>
          <w:kern w:val="0"/>
          <w:sz w:val="20"/>
          <w:szCs w:val="20"/>
          <w:shd w:fill="auto" w:val="clear"/>
          <w:lang w:val="pt-BR" w:eastAsia="pt-BR" w:bidi="ar-SA"/>
        </w:rPr>
        <w:t>2.7</w:t>
      </w:r>
      <w:r>
        <w:rPr>
          <w:rFonts w:eastAsia="Times New Roman" w:cs="Arial" w:ascii="Verdana" w:hAnsi="Verdana"/>
          <w:bCs/>
          <w:i w:val="false"/>
          <w:iCs w:val="false"/>
          <w:color w:val="000000"/>
          <w:kern w:val="0"/>
          <w:sz w:val="20"/>
          <w:szCs w:val="20"/>
          <w:shd w:fill="auto" w:val="clear"/>
          <w:lang w:val="pt-BR" w:eastAsia="pt-BR" w:bidi="ar-SA"/>
        </w:rPr>
        <w:t xml:space="preserve"> A conferência/fiscalização deverá ser acompanhada por um servidor </w:t>
      </w:r>
      <w:r>
        <w:rPr>
          <w:rFonts w:eastAsia="Times New Roman" w:cs="Times New Roman" w:ascii="Verdana" w:hAnsi="Verdana"/>
          <w:bCs/>
          <w:i w:val="false"/>
          <w:iCs w:val="false"/>
          <w:color w:val="000000"/>
          <w:kern w:val="0"/>
          <w:sz w:val="20"/>
          <w:szCs w:val="20"/>
          <w:shd w:fill="auto" w:val="clear"/>
          <w:lang w:val="pt-BR" w:eastAsia="pt-BR" w:bidi="ar-SA"/>
        </w:rPr>
        <w:t>da secretaria requisitante</w:t>
      </w:r>
      <w:r>
        <w:rPr>
          <w:rFonts w:eastAsia="Times New Roman" w:cs="Arial" w:ascii="Verdana" w:hAnsi="Verdana"/>
          <w:bCs/>
          <w:i w:val="false"/>
          <w:iCs w:val="false"/>
          <w:color w:val="000000"/>
          <w:kern w:val="0"/>
          <w:sz w:val="20"/>
          <w:szCs w:val="20"/>
          <w:shd w:fill="auto" w:val="clear"/>
          <w:lang w:val="pt-BR" w:eastAsia="pt-BR" w:bidi="ar-SA"/>
        </w:rPr>
        <w:t>, a fim de zelar pela qualidade e quantidade dos itens a serem adquiridos.</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TERCEIRA – VALOR DO CONTRATO E PAGAMENTO</w:t>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rPr>
      </w:pPr>
      <w:r>
        <w:rPr>
          <w:rFonts w:cs="Verdana" w:ascii="Verdana" w:hAnsi="Verdana"/>
          <w:b/>
        </w:rPr>
        <w:t xml:space="preserve">3.1 </w:t>
      </w:r>
      <w:r>
        <w:rPr>
          <w:rFonts w:cs="Verdana" w:ascii="Verdana" w:hAnsi="Verdana"/>
        </w:rPr>
        <w:t xml:space="preserve">Pela prestação de serviços objeto do presente Contrato, o CONTRATANTE pagará a CONTRATADA, </w:t>
      </w:r>
      <w:r>
        <w:rPr>
          <w:rFonts w:cs="Verdana" w:ascii="Verdana" w:hAnsi="Verdana"/>
          <w:b/>
          <w:bCs/>
          <w:color w:val="FF0000"/>
        </w:rPr>
        <w:t>R$ __________</w:t>
      </w:r>
      <w:r>
        <w:rPr>
          <w:rFonts w:cs="Verdana" w:ascii="Verdana" w:hAnsi="Verdana"/>
          <w:color w:val="FF0000"/>
        </w:rPr>
        <w:t>.</w:t>
      </w:r>
      <w:r>
        <w:rPr>
          <w:rFonts w:cs="Verdana" w:ascii="Verdana" w:hAnsi="Verdana"/>
        </w:rPr>
        <w:t xml:space="preserve"> </w:t>
      </w:r>
      <w:r>
        <w:rPr>
          <w:rFonts w:cs="Verdana" w:ascii="Verdana" w:hAnsi="Verdana"/>
          <w:b w:val="false"/>
          <w:bCs w:val="false"/>
          <w:sz w:val="20"/>
          <w:szCs w:val="20"/>
        </w:rPr>
        <w:t>O pagamento será efetuado no prazo de até 30 (trinta) dias úteis contados da finalização da liquidação da despesa.</w:t>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cs="Verdana"/>
        </w:rPr>
      </w:pPr>
      <w:r>
        <w:rPr>
          <w:rFonts w:eastAsia="Batang;바탕" w:cs="Verdana" w:ascii="Verdana" w:hAnsi="Verdana"/>
          <w:b/>
          <w:bCs/>
        </w:rPr>
        <w:t>3.2</w:t>
      </w:r>
      <w:r>
        <w:rPr>
          <w:rFonts w:eastAsia="Batang;바탕" w:cs="Verdana" w:ascii="Verdana" w:hAnsi="Verdana"/>
        </w:rPr>
        <w:t xml:space="preserve"> O pagamento ocorrerá mediante prestação dos serviços, devidamente </w:t>
      </w:r>
      <w:r>
        <w:rPr>
          <w:rFonts w:cs="Verdana" w:ascii="Verdana" w:hAnsi="Verdana"/>
        </w:rPr>
        <w:t>certificado/atestado pelo Fiscal do contrato</w:t>
      </w:r>
      <w:r>
        <w:rPr>
          <w:rFonts w:eastAsia="Batang;바탕" w:cs="Verdana" w:ascii="Verdana" w:hAnsi="Verdana"/>
        </w:rPr>
        <w:t xml:space="preserve"> e processamento do pagamento, respeitando o rito processual discriminado a seguir:</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A</w:t>
      </w:r>
      <w:r>
        <w:rPr>
          <w:rFonts w:cs="Verdana" w:ascii="Verdana" w:hAnsi="Verdana"/>
          <w:b/>
        </w:rPr>
        <w:t xml:space="preserve"> </w:t>
      </w:r>
      <w:r>
        <w:rPr>
          <w:rFonts w:cs="Verdana" w:ascii="Verdana" w:hAnsi="Verdana"/>
        </w:rPr>
        <w:t>liquidação será feita pela Secretaria Municipal de Educação, que posteriormente encaminhará ao Departamento de Contabilidade para o processamento legal da despesa necessário ao pagamento a ser feito pelo Departamento de Gestão Financeira e Tesouraria.</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 a qual deverá mencionar a quantidade de quilômetros percorrida em cada dia de prestação de serviços.</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A prefeitura procederá com a retenção do percentual de 11% (onze por cento) sobre o valor total do contrato a título de INSS.</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A prefeitura procederá com a retenção do percentual de 1,5% (um e meio por cento) sobre o valor total pactuado a título de Imposto de Renda de Pessoa Jurídica.</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No caso de empresa optante pelo SIMPLES, a retenção será no percentual de 1% (um por cento).</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O Município fará a retenção do ISSQN na fonte, no percentual de 3% (três por cento) incidente sobre os serviços prestados.</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Ocorrendo erros na apresentação da Nota Fiscal, a mesma será devolvida à Contratada para correção, ficando estabelecido que o prazo para pagamento será contado a partir da data de apresentação da nova fatura devidamente corrigida.</w:t>
      </w:r>
    </w:p>
    <w:p>
      <w:pPr>
        <w:pStyle w:val="Corpodetexto22"/>
        <w:numPr>
          <w:ilvl w:val="0"/>
          <w:numId w:val="3"/>
        </w:numPr>
        <w:tabs>
          <w:tab w:val="left" w:pos="426" w:leader="none"/>
          <w:tab w:val="left" w:pos="851" w:leader="none"/>
        </w:tabs>
        <w:spacing w:lineRule="auto" w:line="276"/>
        <w:ind w:hanging="0" w:left="0" w:right="-142"/>
        <w:rPr>
          <w:rFonts w:ascii="Verdana" w:hAnsi="Verdana" w:cs="Verdana"/>
          <w:sz w:val="20"/>
        </w:rPr>
      </w:pPr>
      <w:r>
        <w:rPr>
          <w:rFonts w:cs="Verdana" w:ascii="Verdana" w:hAnsi="Verdana"/>
          <w:b w:val="false"/>
          <w:sz w:val="20"/>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b w:val="false"/>
          <w:sz w:val="20"/>
        </w:rPr>
        <w:t>.</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A Prefeitura de São Gabriel da Palha poderá deduzir dos pagamentos importâncias que, a qualquer título, lhe forem devidos pela Contratada, em decorrência de descumprimento contratual.</w:t>
      </w:r>
    </w:p>
    <w:p>
      <w:pPr>
        <w:pStyle w:val="Normal"/>
        <w:numPr>
          <w:ilvl w:val="0"/>
          <w:numId w:val="3"/>
        </w:numPr>
        <w:tabs>
          <w:tab w:val="clear" w:pos="708"/>
          <w:tab w:val="left" w:pos="426" w:leader="none"/>
        </w:tabs>
        <w:spacing w:lineRule="auto" w:line="276"/>
        <w:ind w:hanging="0" w:left="0"/>
        <w:jc w:val="both"/>
        <w:rPr>
          <w:rFonts w:ascii="Verdana" w:hAnsi="Verdana" w:cs="Verdana"/>
        </w:rPr>
      </w:pPr>
      <w:r>
        <w:rPr>
          <w:rFonts w:cs="Verdana" w:ascii="Verdana" w:hAnsi="Verdana"/>
        </w:rPr>
        <w:t>O pagamento da fatura somente será feito em carteira ou cobrança simples, sendo expressamente vedada a contratada a cobrança ou desconto de duplicatas através da rede bancária ou de terceiros.</w:t>
      </w:r>
    </w:p>
    <w:p>
      <w:pPr>
        <w:pStyle w:val="Normal"/>
        <w:numPr>
          <w:ilvl w:val="0"/>
          <w:numId w:val="3"/>
        </w:numPr>
        <w:tabs>
          <w:tab w:val="clear" w:pos="708"/>
          <w:tab w:val="left" w:pos="426" w:leader="none"/>
          <w:tab w:val="left" w:pos="900" w:leader="none"/>
          <w:tab w:val="left" w:pos="1080" w:leader="none"/>
        </w:tabs>
        <w:spacing w:lineRule="auto" w:line="276"/>
        <w:ind w:hanging="0" w:left="0"/>
        <w:jc w:val="both"/>
        <w:rPr>
          <w:rFonts w:ascii="Verdana" w:hAnsi="Verdana" w:cs="Verdana"/>
        </w:rPr>
      </w:pPr>
      <w:r>
        <w:rPr>
          <w:rFonts w:cs="Verdana" w:ascii="Verdana" w:hAnsi="Verdana"/>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76"/>
        <w:ind w:left="720"/>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QUARTA – DO REAJUSTE</w:t>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ivel2"/>
        <w:tabs>
          <w:tab w:val="clear" w:pos="0"/>
        </w:tabs>
        <w:spacing w:before="0" w:after="0"/>
        <w:ind w:hanging="14" w:left="-28"/>
        <w:rPr>
          <w:rFonts w:ascii="Verdana" w:hAnsi="Verdana" w:cs="Verdana"/>
          <w:b/>
          <w:bCs/>
        </w:rPr>
      </w:pPr>
      <w:r>
        <w:rPr>
          <w:rFonts w:cs="Verdana" w:ascii="Verdana" w:hAnsi="Verdana"/>
          <w:b/>
          <w:bCs/>
        </w:rPr>
        <w:t xml:space="preserve">4.1 </w:t>
      </w:r>
      <w:bookmarkStart w:id="0" w:name="_Hlk146015535"/>
      <w:r>
        <w:rPr>
          <w:rFonts w:cs="Verdana" w:ascii="Verdana" w:hAnsi="Verdana"/>
        </w:rPr>
        <w:t>Os preços inicialmente contratados são fixos e irreajustáveis no prazo de um ano contado da data do orçamento estimado, em</w:t>
      </w:r>
      <w:r>
        <w:rPr>
          <w:rFonts w:cs="Verdana" w:ascii="Verdana" w:hAnsi="Verdana"/>
          <w:b/>
          <w:bCs/>
          <w:i/>
          <w:iCs/>
          <w:color w:val="FF0000"/>
        </w:rPr>
        <w:t>__/__/__ (DD/MM/AAAA)</w:t>
      </w:r>
      <w:r>
        <w:rPr>
          <w:rFonts w:cs="Verdana" w:ascii="Verdana" w:hAnsi="Verdana"/>
        </w:rPr>
        <w:t>.</w:t>
      </w:r>
    </w:p>
    <w:p>
      <w:pPr>
        <w:pStyle w:val="Nivel2"/>
        <w:tabs>
          <w:tab w:val="clear" w:pos="0"/>
        </w:tabs>
        <w:spacing w:before="0" w:after="0"/>
        <w:ind w:left="14"/>
        <w:rPr>
          <w:rFonts w:ascii="Verdana" w:hAnsi="Verdana" w:cs="Verdana"/>
        </w:rPr>
      </w:pPr>
      <w:r>
        <w:rPr>
          <w:rFonts w:cs="Verdana" w:ascii="Verdana" w:hAnsi="Verdana"/>
          <w:b/>
          <w:bCs/>
        </w:rPr>
        <w:t xml:space="preserve">4.2 </w:t>
      </w:r>
      <w:r>
        <w:rPr>
          <w:rFonts w:cs="Verdana" w:ascii="Verdana" w:hAnsi="Verdana"/>
        </w:rPr>
        <w:t xml:space="preserve">Após o interregno de um ano, e </w:t>
      </w:r>
      <w:bookmarkStart w:id="1" w:name="_Hlk132722410"/>
      <w:r>
        <w:rPr>
          <w:rFonts w:cs="Verdana" w:ascii="Verdana" w:hAnsi="Verdana"/>
        </w:rPr>
        <w:t xml:space="preserve">independentemente de pedido do contratado, </w:t>
      </w:r>
      <w:bookmarkEnd w:id="1"/>
      <w:r>
        <w:rPr>
          <w:rFonts w:cs="Verdana" w:ascii="Verdana" w:hAnsi="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before="0" w:after="0"/>
        <w:ind w:left="14"/>
        <w:rPr>
          <w:rFonts w:ascii="Verdana" w:hAnsi="Verdana" w:cs="Verdana"/>
        </w:rPr>
      </w:pPr>
      <w:r>
        <w:rPr>
          <w:rFonts w:cs="Verdana" w:ascii="Verdana" w:hAnsi="Verdana"/>
          <w:b/>
          <w:bCs/>
        </w:rPr>
        <w:t xml:space="preserve">4.3 </w:t>
      </w:r>
      <w:r>
        <w:rPr>
          <w:rFonts w:cs="Verdana" w:ascii="Verdana" w:hAnsi="Verdana"/>
        </w:rPr>
        <w:t>Nos reajustes subsequentes ao primeiro, o interregno mínimo de um ano será contado a partir dos efeitos financeiros do último reajuste.</w:t>
      </w:r>
    </w:p>
    <w:p>
      <w:pPr>
        <w:pStyle w:val="Nivel2"/>
        <w:tabs>
          <w:tab w:val="clear" w:pos="0"/>
        </w:tabs>
        <w:spacing w:before="0" w:after="0"/>
        <w:ind w:left="14"/>
        <w:rPr>
          <w:rFonts w:ascii="Verdana" w:hAnsi="Verdana" w:cs="Verdana"/>
        </w:rPr>
      </w:pPr>
      <w:r>
        <w:rPr>
          <w:rFonts w:cs="Verdana" w:ascii="Verdana" w:hAnsi="Verdana"/>
          <w:b/>
          <w:bCs/>
        </w:rPr>
        <w:t xml:space="preserve">4.4 </w:t>
      </w:r>
      <w:r>
        <w:rPr>
          <w:rFonts w:cs="Verdana" w:ascii="Verdana" w:hAnsi="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before="0" w:after="0"/>
        <w:ind w:left="14"/>
        <w:rPr>
          <w:rFonts w:ascii="Verdana" w:hAnsi="Verdana" w:cs="Verdana"/>
        </w:rPr>
      </w:pPr>
      <w:r>
        <w:rPr>
          <w:rFonts w:cs="Verdana" w:ascii="Verdana" w:hAnsi="Verdana"/>
          <w:b/>
          <w:bCs/>
        </w:rPr>
        <w:t xml:space="preserve">4.5 </w:t>
      </w:r>
      <w:r>
        <w:rPr>
          <w:rFonts w:cs="Verdana" w:ascii="Verdana" w:hAnsi="Verdana"/>
        </w:rPr>
        <w:t>Nas aferições finais, o(s) índice(s) utilizado(s) para reajuste será(ão), obrigatoriamente, o(s) definitivo(s).</w:t>
      </w:r>
    </w:p>
    <w:p>
      <w:pPr>
        <w:pStyle w:val="Nivel2"/>
        <w:tabs>
          <w:tab w:val="clear" w:pos="0"/>
        </w:tabs>
        <w:spacing w:before="0" w:after="0"/>
        <w:ind w:left="14"/>
        <w:rPr>
          <w:rFonts w:ascii="Verdana" w:hAnsi="Verdana" w:cs="Verdana"/>
        </w:rPr>
      </w:pPr>
      <w:r>
        <w:rPr>
          <w:rFonts w:cs="Verdana" w:ascii="Verdana" w:hAnsi="Verdana"/>
          <w:b/>
          <w:bCs/>
        </w:rPr>
        <w:t xml:space="preserve">4.6 </w:t>
      </w:r>
      <w:r>
        <w:rPr>
          <w:rFonts w:cs="Verdana" w:ascii="Verdana" w:hAnsi="Verdana"/>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before="0" w:after="0"/>
        <w:ind w:left="14"/>
        <w:rPr>
          <w:rFonts w:ascii="Verdana" w:hAnsi="Verdana" w:cs="Verdana"/>
        </w:rPr>
      </w:pPr>
      <w:r>
        <w:rPr>
          <w:rFonts w:cs="Verdana" w:ascii="Verdana" w:hAnsi="Verdana"/>
          <w:b/>
          <w:bCs/>
        </w:rPr>
        <w:t xml:space="preserve">4.7 </w:t>
      </w:r>
      <w:r>
        <w:rPr>
          <w:rFonts w:cs="Verdana" w:ascii="Verdana" w:hAnsi="Verdana"/>
        </w:rPr>
        <w:t>Na ausência de previsão legal quanto ao índice substituto, as partes elegerão novo índice oficial, para reajustamento do preço do valor remanescente, por meio de termo aditivo.</w:t>
      </w:r>
    </w:p>
    <w:p>
      <w:pPr>
        <w:pStyle w:val="Nivel2"/>
        <w:tabs>
          <w:tab w:val="clear" w:pos="0"/>
        </w:tabs>
        <w:spacing w:before="0" w:after="0"/>
        <w:ind w:left="14"/>
        <w:rPr>
          <w:rFonts w:ascii="Verdana" w:hAnsi="Verdana" w:cs="Verdana"/>
        </w:rPr>
      </w:pPr>
      <w:r>
        <w:rPr>
          <w:rFonts w:cs="Verdana" w:ascii="Verdana" w:hAnsi="Verdana"/>
          <w:b/>
          <w:bCs/>
        </w:rPr>
        <w:t xml:space="preserve">4.8 </w:t>
      </w:r>
      <w:r>
        <w:rPr>
          <w:rFonts w:cs="Verdana" w:ascii="Verdana" w:hAnsi="Verdana"/>
        </w:rPr>
        <w:t>O reajuste será realizado por apostilamento.</w:t>
      </w:r>
    </w:p>
    <w:p>
      <w:pPr>
        <w:pStyle w:val="Nivel2"/>
        <w:tabs>
          <w:tab w:val="clear" w:pos="0"/>
        </w:tabs>
        <w:spacing w:before="0" w:after="0"/>
        <w:rPr>
          <w:rFonts w:ascii="Verdana" w:hAnsi="Verdana" w:cs="Verdana"/>
        </w:rPr>
      </w:pPr>
      <w:r>
        <w:rPr>
          <w:rFonts w:cs="Verdana" w:ascii="Verdana" w:hAnsi="Verdana"/>
        </w:rPr>
      </w:r>
      <w:bookmarkEnd w:id="0"/>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cs="Verdana"/>
          <w:b/>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ind w:right="-1"/>
        <w:jc w:val="both"/>
        <w:rPr>
          <w:rFonts w:ascii="Verdana" w:hAnsi="Verdana" w:cs="Verdana"/>
        </w:rPr>
      </w:pPr>
      <w:r>
        <w:rPr>
          <w:rFonts w:cs="Verdana" w:ascii="Verdana" w:hAnsi="Verdana"/>
          <w:b/>
        </w:rPr>
        <w:t xml:space="preserve">5.1 </w:t>
      </w:r>
      <w:r>
        <w:rPr>
          <w:rFonts w:eastAsia="Batang;바탕" w:cs="Verdana" w:ascii="Verdana" w:hAnsi="Verdana"/>
          <w:b/>
          <w:u w:val="single"/>
        </w:rPr>
        <w:t>Dos recursos orçamentários</w:t>
      </w:r>
      <w:r>
        <w:rPr>
          <w:rFonts w:eastAsia="Batang;바탕" w:cs="Verdana" w:ascii="Verdana" w:hAnsi="Verdana"/>
        </w:rPr>
        <w:t xml:space="preserve"> – </w:t>
      </w:r>
      <w:r>
        <w:rPr>
          <w:rFonts w:cs="Verdana" w:ascii="Verdana" w:hAnsi="Verdana"/>
        </w:rPr>
        <w:t>As despesas decorrentes desta licitação correrão por conta da seguinte dotação orçamentária.</w:t>
      </w:r>
    </w:p>
    <w:p>
      <w:pPr>
        <w:pStyle w:val="Normal"/>
        <w:spacing w:lineRule="auto" w:line="276" w:before="57" w:after="57"/>
        <w:jc w:val="both"/>
        <w:rPr>
          <w:rFonts w:ascii="Verdana" w:hAnsi="Verdana"/>
        </w:rPr>
      </w:pPr>
      <w:r>
        <w:rPr>
          <w:rFonts w:ascii="Verdana" w:hAnsi="Verdana"/>
          <w:b/>
          <w:bCs/>
          <w:lang w:eastAsia="ar-SA"/>
        </w:rPr>
        <w:t xml:space="preserve">– </w:t>
      </w:r>
      <w:r>
        <w:rPr>
          <w:rFonts w:ascii="Verdana" w:hAnsi="Verdana"/>
          <w:b/>
          <w:bCs/>
          <w:lang w:eastAsia="ar-SA"/>
        </w:rPr>
        <w:t>Secretaria Municipal de Educação</w:t>
      </w:r>
    </w:p>
    <w:p>
      <w:pPr>
        <w:pStyle w:val="Normal"/>
        <w:spacing w:lineRule="auto" w:line="276" w:before="57" w:after="57"/>
        <w:jc w:val="both"/>
        <w:rPr>
          <w:rFonts w:ascii="Verdana" w:hAnsi="Verdana" w:cs="Verdana"/>
          <w:iCs/>
          <w:color w:val="000000"/>
          <w:sz w:val="20"/>
          <w:szCs w:val="20"/>
        </w:rPr>
      </w:pPr>
      <w:r>
        <w:rPr>
          <w:rStyle w:val="Fontepargpadro1"/>
          <w:rFonts w:cs="Verdana" w:ascii="Verdana" w:hAnsi="Verdana"/>
          <w:b/>
          <w:bCs/>
          <w:iCs/>
          <w:color w:val="000000"/>
          <w:sz w:val="20"/>
          <w:szCs w:val="20"/>
          <w:lang w:eastAsia="ar-SA"/>
        </w:rPr>
        <w:t>FICHA - FONTE</w:t>
      </w:r>
      <w:r>
        <w:rPr>
          <w:rStyle w:val="Fontepargpadro1"/>
          <w:rFonts w:cs="Verdana" w:ascii="Verdana" w:hAnsi="Verdana"/>
          <w:b w:val="false"/>
          <w:bCs w:val="false"/>
          <w:iCs/>
          <w:color w:val="000000"/>
          <w:sz w:val="20"/>
          <w:szCs w:val="20"/>
          <w:lang w:eastAsia="ar-SA"/>
        </w:rPr>
        <w:t>: 00600-157600000001</w:t>
      </w:r>
      <w:r>
        <w:rPr>
          <w:rFonts w:ascii="Verdana" w:hAnsi="Verdana"/>
          <w:b w:val="false"/>
          <w:bCs w:val="false"/>
          <w:color w:val="000000"/>
          <w:sz w:val="20"/>
          <w:lang w:eastAsia="ar-SA"/>
        </w:rPr>
        <w:t>.</w:t>
      </w:r>
    </w:p>
    <w:p>
      <w:pPr>
        <w:pStyle w:val="Normal"/>
        <w:spacing w:lineRule="auto" w:line="276" w:before="57" w:after="57"/>
        <w:jc w:val="both"/>
        <w:rPr>
          <w:rFonts w:ascii="Verdana" w:hAnsi="Verdana" w:cs="Verdana"/>
          <w:iCs/>
          <w:color w:val="000000"/>
          <w:sz w:val="20"/>
          <w:szCs w:val="20"/>
        </w:rPr>
      </w:pPr>
      <w:r>
        <w:rPr>
          <w:rStyle w:val="Fontepargpadro1"/>
          <w:rFonts w:cs="Verdana" w:ascii="Verdana" w:hAnsi="Verdana"/>
          <w:b/>
          <w:bCs/>
          <w:iCs/>
          <w:color w:val="000000"/>
          <w:sz w:val="20"/>
          <w:szCs w:val="20"/>
        </w:rPr>
        <w:t>FICHA - FONTE</w:t>
      </w:r>
      <w:r>
        <w:rPr>
          <w:rStyle w:val="Fontepargpadro1"/>
          <w:rFonts w:cs="Verdana" w:ascii="Verdana" w:hAnsi="Verdana"/>
          <w:iCs/>
          <w:color w:val="000000"/>
          <w:sz w:val="20"/>
          <w:szCs w:val="20"/>
        </w:rPr>
        <w:t>: 00601-157600000001</w:t>
      </w:r>
      <w:r>
        <w:rPr>
          <w:rFonts w:ascii="Verdana" w:hAnsi="Verdana"/>
          <w:sz w:val="20"/>
        </w:rPr>
        <w:t>.</w:t>
      </w:r>
    </w:p>
    <w:p>
      <w:pPr>
        <w:pStyle w:val="Normal"/>
        <w:spacing w:lineRule="auto" w:line="276" w:before="57" w:after="57"/>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SEXTA – VIGÊNCIA</w:t>
      </w:r>
    </w:p>
    <w:p>
      <w:pPr>
        <w:pStyle w:val="Normal"/>
        <w:spacing w:lineRule="auto" w:line="276"/>
        <w:ind w:firstLine="14"/>
        <w:jc w:val="both"/>
        <w:rPr>
          <w:rFonts w:ascii="Verdana" w:hAnsi="Verdana" w:cs="Verdana"/>
          <w:b/>
        </w:rPr>
      </w:pPr>
      <w:r>
        <w:rPr>
          <w:rFonts w:cs="Verdana" w:ascii="Verdana" w:hAnsi="Verdana"/>
          <w:b/>
        </w:rPr>
        <w:t>6.1 –</w:t>
      </w:r>
      <w:r>
        <w:rPr>
          <w:rFonts w:cs="Verdana" w:ascii="Verdana" w:hAnsi="Verdana"/>
        </w:rPr>
        <w:t xml:space="preserve"> A vigência do contrato será de 12 (doze) meses, contados a partir da assinatura do contrato.</w:t>
      </w:r>
    </w:p>
    <w:p>
      <w:pPr>
        <w:pStyle w:val="Normal"/>
        <w:spacing w:lineRule="auto" w:line="276"/>
        <w:ind w:firstLine="14"/>
        <w:jc w:val="both"/>
        <w:rPr>
          <w:rFonts w:ascii="Verdana" w:hAnsi="Verdana"/>
        </w:rPr>
      </w:pPr>
      <w:r>
        <w:rPr>
          <w:rFonts w:cs="Verdana" w:ascii="Verdana" w:hAnsi="Verdana"/>
          <w:b/>
        </w:rPr>
        <w:t>6.2 –</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ind w:firstLine="14"/>
        <w:jc w:val="both"/>
        <w:rPr>
          <w:rFonts w:ascii="Verdana" w:hAnsi="Verdana"/>
        </w:rPr>
      </w:pPr>
      <w:r>
        <w:rPr>
          <w:rFonts w:ascii="Verdana" w:hAnsi="Verdana"/>
        </w:rPr>
      </w:r>
    </w:p>
    <w:p>
      <w:pPr>
        <w:pStyle w:val="Normal"/>
        <w:tabs>
          <w:tab w:val="clear" w:pos="708"/>
          <w:tab w:val="left" w:pos="508" w:leader="none"/>
        </w:tabs>
        <w:spacing w:lineRule="auto" w:line="276" w:before="57" w:after="57"/>
        <w:jc w:val="both"/>
        <w:rPr>
          <w:rFonts w:ascii="Verdana" w:hAnsi="Verdana"/>
        </w:rPr>
      </w:pPr>
      <w:r>
        <w:rPr>
          <w:rFonts w:cs="Verdana" w:ascii="Verdana" w:hAnsi="Verdana"/>
          <w:b/>
          <w:u w:val="single"/>
        </w:rPr>
        <w:t>CLÁU</w:t>
      </w:r>
      <w:r>
        <w:rPr>
          <w:rFonts w:cs="Arial" w:ascii="Verdana" w:hAnsi="Verdana"/>
          <w:b/>
          <w:bCs/>
          <w:color w:val="000000"/>
          <w:u w:val="single"/>
        </w:rPr>
        <w:t>SULA SÉTIMA – OBRIGAÇÕES DA CONTRATADA</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7.1</w:t>
      </w:r>
      <w:r>
        <w:rPr>
          <w:rFonts w:cs="Arial" w:ascii="Verdana" w:hAnsi="Verdana"/>
          <w:color w:val="000000"/>
        </w:rPr>
        <w:t xml:space="preserve"> – Além das obrigações que lhe são comuns e peculiares previstas na lei 14.133/2021, cabe exclusivamente a CONTRATADA:</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7.2</w:t>
      </w:r>
      <w:r>
        <w:rPr>
          <w:rFonts w:cs="Arial" w:ascii="Verdana" w:hAnsi="Verdana"/>
          <w:color w:val="000000"/>
        </w:rPr>
        <w:t>. A Contratada deve cumprir todas as obrigações constantes no Contrato, neste Termo de Referência, seus anexos e sua proposta, assumindo como exclusivamente seus os riscos e as despesas decorrentes da boa e perfeita execução do objeto.</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7.3</w:t>
      </w:r>
      <w:r>
        <w:rPr>
          <w:rFonts w:cs="Arial" w:ascii="Verdana" w:hAnsi="Verdana"/>
          <w:color w:val="000000"/>
        </w:rPr>
        <w:t>. Efetuar o serviço/troca de peça, conforme especificações, prazo e local constantes no Contrato, Termo de Referência e seus anexos, acompanhado da respectiva nota fiscal.</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7.4</w:t>
      </w:r>
      <w:r>
        <w:rPr>
          <w:rFonts w:cs="Arial" w:ascii="Verdana" w:hAnsi="Verdana"/>
          <w:color w:val="000000"/>
        </w:rPr>
        <w:t>. Responsabilizar-se pelos vícios e danos decorrentes do objeto, de acordo com os artigos 12, 13 e 17 a 27, do Código de Defesa do Consumidor (Lei nº 8.078, de 1990).</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7.5</w:t>
      </w:r>
      <w:r>
        <w:rPr>
          <w:rFonts w:cs="Arial" w:ascii="Verdana" w:hAnsi="Verdana"/>
          <w:color w:val="000000"/>
        </w:rPr>
        <w:t>. Substituir, reparar ou corrigir, às suas expensas, no prazo fixado neste Termo de Referência, o objeto com avarias ou defeitos.</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7.6</w:t>
      </w:r>
      <w:r>
        <w:rPr>
          <w:rFonts w:cs="Arial" w:ascii="Verdana" w:hAnsi="Verdana"/>
          <w:color w:val="000000"/>
        </w:rPr>
        <w:t>. Comunicar à Contratante, no prazo máximo de 05 (cinco) dias que antecede a data da entrega, os motivos que impossibilitem o cumprimento do prazo previsto, com a devida comprovação.</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7.7</w:t>
      </w:r>
      <w:r>
        <w:rPr>
          <w:rFonts w:cs="Arial" w:ascii="Verdana" w:hAnsi="Verdana"/>
          <w:color w:val="000000"/>
        </w:rPr>
        <w:t>. Manter, durante toda a execução do contrato, em compatibilidade com as obrigações assumidas, todas as condições de habilitação e qualificação exigidas na licitação.</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7.8</w:t>
      </w:r>
      <w:r>
        <w:rPr>
          <w:rFonts w:cs="Arial" w:ascii="Verdana" w:hAnsi="Verdana"/>
          <w:color w:val="000000"/>
        </w:rPr>
        <w:t>. Indicar preposto para representá-la durante a execução do Contrato.</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7.9</w:t>
      </w:r>
      <w:r>
        <w:rPr>
          <w:rFonts w:cs="Arial" w:ascii="Verdana" w:hAnsi="Verdana"/>
          <w:color w:val="000000"/>
        </w:rPr>
        <w:t>. A CONTRATADA será responsável pela observância das leis, decretos, regulamentos, portarias e normas federais, estaduais e municipais direta e indiretamente aplicáveis ao objeto do contrato.</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7.10</w:t>
      </w:r>
      <w:r>
        <w:rPr>
          <w:rFonts w:cs="Arial" w:ascii="Verdana" w:hAnsi="Verdana"/>
          <w:color w:val="000000"/>
        </w:rPr>
        <w:t>. Durante a execução do Contrato, a CONTRATADA deverá:</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7.10.1</w:t>
      </w:r>
      <w:r>
        <w:rPr>
          <w:rFonts w:cs="Arial" w:ascii="Verdana" w:hAnsi="Verdana"/>
          <w:color w:val="000000"/>
        </w:rPr>
        <w:t>. Atender prontamente às solicitações da secretaria requisitante nas quantidades e especificações do Contrato e Termo de Referência.</w:t>
      </w:r>
    </w:p>
    <w:p>
      <w:pPr>
        <w:pStyle w:val="Normal"/>
        <w:tabs>
          <w:tab w:val="clear" w:pos="708"/>
          <w:tab w:val="left" w:pos="508" w:leader="none"/>
        </w:tabs>
        <w:spacing w:lineRule="auto" w:line="276" w:before="57" w:after="57"/>
        <w:jc w:val="both"/>
        <w:rPr>
          <w:rFonts w:ascii="Verdana" w:hAnsi="Verdana" w:cs="Arial"/>
          <w:color w:val="000000"/>
        </w:rPr>
      </w:pPr>
      <w:r>
        <w:rPr>
          <w:rFonts w:cs="Arial" w:ascii="Verdana" w:hAnsi="Verdana"/>
          <w:b/>
          <w:bCs/>
          <w:color w:val="000000"/>
        </w:rPr>
        <w:t>7.10.2</w:t>
      </w:r>
      <w:r>
        <w:rPr>
          <w:rFonts w:cs="Arial" w:ascii="Verdana" w:hAnsi="Verdana"/>
          <w:color w:val="000000"/>
        </w:rPr>
        <w:t>. A nota fiscal deverá ser acompanhada pelas Certidões de Regularidades Fiscais.</w:t>
      </w:r>
    </w:p>
    <w:p>
      <w:pPr>
        <w:pStyle w:val="ListParagraph"/>
        <w:tabs>
          <w:tab w:val="clear" w:pos="708"/>
          <w:tab w:val="left" w:pos="426" w:leader="none"/>
        </w:tabs>
        <w:spacing w:lineRule="auto" w:line="276" w:before="0" w:after="0"/>
        <w:ind w:left="0"/>
        <w:contextualSpacing/>
        <w:jc w:val="both"/>
        <w:rPr>
          <w:rFonts w:ascii="Verdana" w:hAnsi="Verdana"/>
        </w:rPr>
      </w:pPr>
      <w:r>
        <w:rPr>
          <w:rFonts w:ascii="Verdana" w:hAnsi="Verdana"/>
        </w:rPr>
      </w:r>
    </w:p>
    <w:p>
      <w:pPr>
        <w:pStyle w:val="Normal"/>
        <w:spacing w:lineRule="auto" w:line="276"/>
        <w:jc w:val="both"/>
        <w:rPr>
          <w:highlight w:val="none"/>
          <w:shd w:fill="FFFF00" w:val="clear"/>
        </w:rPr>
      </w:pPr>
      <w:r>
        <w:rPr>
          <w:rFonts w:cs="Verdana" w:ascii="Verdana" w:hAnsi="Verdana"/>
          <w:b/>
          <w:u w:val="single"/>
          <w:shd w:fill="FFFF00" w:val="clear"/>
        </w:rPr>
        <w:t>CLÁUSULA OITAVA – OBRIGAÇÕES DA CONTRATANTE</w:t>
      </w:r>
    </w:p>
    <w:p>
      <w:pPr>
        <w:pStyle w:val="Normal"/>
        <w:spacing w:lineRule="auto" w:line="276"/>
        <w:jc w:val="both"/>
        <w:rPr>
          <w:rFonts w:ascii="Verdana" w:hAnsi="Verdana" w:cs="Verdana"/>
          <w:bCs/>
        </w:rPr>
      </w:pPr>
      <w:r>
        <w:rPr>
          <w:rFonts w:cs="Verdana" w:ascii="Verdana" w:hAnsi="Verdana"/>
          <w:b/>
        </w:rPr>
        <w:t xml:space="preserve">8.1 – </w:t>
      </w:r>
      <w:r>
        <w:rPr>
          <w:rFonts w:cs="Arial" w:ascii="Verdana" w:hAnsi="Verdana"/>
          <w:color w:val="000000"/>
        </w:rPr>
        <w:t>Constituem obrigações da Contratante, além de outras previstas no Termo de Referência, no Edital e seus anexos:</w:t>
      </w:r>
    </w:p>
    <w:p>
      <w:pPr>
        <w:pStyle w:val="Normal"/>
        <w:spacing w:lineRule="auto" w:line="276" w:before="57" w:after="57"/>
        <w:jc w:val="both"/>
        <w:rPr>
          <w:rFonts w:ascii="Verdana" w:hAnsi="Verdana"/>
        </w:rPr>
      </w:pPr>
      <w:r>
        <w:rPr>
          <w:rFonts w:cs="Arial" w:ascii="Verdana" w:hAnsi="Verdana"/>
          <w:b/>
          <w:bCs/>
          <w:color w:val="000000"/>
        </w:rPr>
        <w:t>8.2</w:t>
      </w:r>
      <w:r>
        <w:rPr>
          <w:rFonts w:cs="Arial" w:ascii="Verdana" w:hAnsi="Verdana"/>
          <w:color w:val="000000"/>
        </w:rPr>
        <w:t>. Contratar o serviço no prazo e condições estabelecidas no Edital e seus anexos.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8.3</w:t>
      </w:r>
      <w:r>
        <w:rPr>
          <w:rFonts w:cs="Arial" w:ascii="Verdana" w:hAnsi="Verdana"/>
          <w:color w:val="000000"/>
        </w:rPr>
        <w:t>. Verificar a conformidade dos serviços prestados de acordo com as especificações constantes no Termo de Referência, Edital e seus anexos.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8.4</w:t>
      </w:r>
      <w:r>
        <w:rPr>
          <w:rFonts w:cs="Arial" w:ascii="Verdana" w:hAnsi="Verdana"/>
          <w:color w:val="000000"/>
        </w:rPr>
        <w:t>.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8.5</w:t>
      </w:r>
      <w:r>
        <w:rPr>
          <w:rFonts w:cs="Arial" w:ascii="Verdana" w:hAnsi="Verdana"/>
          <w:color w:val="000000"/>
        </w:rPr>
        <w:t>. Acompanhar e fiscalizar o cumprimento das obrigações da Contratada.</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8.6</w:t>
      </w:r>
      <w:r>
        <w:rPr>
          <w:rFonts w:cs="Arial" w:ascii="Verdana" w:hAnsi="Verdana"/>
          <w:color w:val="000000"/>
        </w:rPr>
        <w:t xml:space="preserve">. Efetuar o pagamento à Contratada no valor correspondente à prestação do objeto, no prazo e forma estabelecidos no Edital e seus anexo. </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 xml:space="preserve">8.7. </w:t>
      </w:r>
      <w:r>
        <w:rPr>
          <w:rFonts w:eastAsia="Times New Roman" w:cs="Arial" w:ascii="Verdana" w:hAnsi="Verdana"/>
          <w:b w:val="false"/>
          <w:bCs w:val="false"/>
          <w:i w:val="false"/>
          <w:iCs w:val="false"/>
          <w:color w:val="000000"/>
          <w:sz w:val="20"/>
          <w:szCs w:val="20"/>
        </w:rPr>
        <w:t>A Administração não responderá por quaisquer compromissos assumidos pela Contratada com terc</w:t>
      </w:r>
      <w:r>
        <w:rPr>
          <w:rFonts w:cs="Arial" w:ascii="Verdana" w:hAnsi="Verdana"/>
          <w:b w:val="false"/>
          <w:bCs w:val="false"/>
          <w:color w:val="000000"/>
        </w:rPr>
        <w:t>eiros</w:t>
      </w:r>
      <w:r>
        <w:rPr>
          <w:rFonts w:cs="Arial" w:ascii="Verdana" w:hAnsi="Verdana"/>
          <w:color w:val="000000"/>
        </w:rPr>
        <w:t>, ainda que vinculados à execução do presente contrato, bem como por qualquer dano causado a terceiros em decorrência de ato da Contratada, de seus empregados, prepostos ou subordinados.</w:t>
      </w:r>
    </w:p>
    <w:p>
      <w:pPr>
        <w:pStyle w:val="Normal"/>
        <w:spacing w:lineRule="auto" w:line="276" w:before="10" w:after="10"/>
        <w:jc w:val="both"/>
        <w:rPr>
          <w:rFonts w:ascii="Verdana" w:hAnsi="Verdana"/>
        </w:rPr>
      </w:pPr>
      <w:r>
        <w:rPr>
          <w:rFonts w:cs="Verdana" w:ascii="Verdana" w:hAnsi="Verdana"/>
          <w:b/>
          <w:bCs/>
        </w:rPr>
        <w:t>8.8</w:t>
      </w:r>
      <w:r>
        <w:rPr>
          <w:rFonts w:cs="Verdana" w:ascii="Verdana" w:hAnsi="Verdana"/>
        </w:rPr>
        <w:t>. A fiscalização do contrato será feita pela Secretaria Municipal de Educação, sendo designado servidor para atuar como fiscal do contrato.</w:t>
      </w:r>
    </w:p>
    <w:p>
      <w:pPr>
        <w:pStyle w:val="Normal"/>
        <w:spacing w:lineRule="auto" w:line="276" w:before="10" w:after="10"/>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NONA – DA FISCALIZAÇÃO</w:t>
      </w:r>
    </w:p>
    <w:p>
      <w:pPr>
        <w:pStyle w:val="Normal"/>
        <w:tabs>
          <w:tab w:val="clear" w:pos="708"/>
          <w:tab w:val="left" w:pos="378" w:leader="none"/>
        </w:tabs>
        <w:spacing w:lineRule="auto" w:line="276"/>
        <w:jc w:val="both"/>
        <w:rPr>
          <w:rFonts w:ascii="Verdana" w:hAnsi="Verdana" w:cs="Verdana"/>
          <w:b/>
        </w:rPr>
      </w:pPr>
      <w:r>
        <w:rPr>
          <w:rFonts w:cs="Verdana" w:ascii="Verdana" w:hAnsi="Verdana"/>
          <w:b/>
        </w:rPr>
        <w:t>9.1 –</w:t>
      </w:r>
      <w:r>
        <w:rPr>
          <w:rFonts w:cs="Verdana" w:ascii="Verdana" w:hAnsi="Verdana"/>
        </w:rPr>
        <w:t xml:space="preserve"> A fiscalização do objeto deste contrato será exercida pelo(a) Servidor(a) da Secretaria Municipal de Educação, </w:t>
      </w:r>
      <w:r>
        <w:rPr>
          <w:rFonts w:cs="Verdana" w:ascii="Verdana" w:hAnsi="Verdana"/>
          <w:b/>
        </w:rPr>
        <w:t>_______________</w:t>
      </w:r>
      <w:r>
        <w:rPr>
          <w:rFonts w:cs="Verdana" w:ascii="Verdana" w:hAnsi="Verdana"/>
        </w:rPr>
        <w:t>, Matrícula Nº ______, Assistente Administrativa nomeada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pPr>
        <w:pStyle w:val="Normal"/>
        <w:tabs>
          <w:tab w:val="clear" w:pos="708"/>
          <w:tab w:val="left" w:pos="378" w:leader="none"/>
        </w:tabs>
        <w:spacing w:lineRule="auto" w:line="276"/>
        <w:jc w:val="both"/>
        <w:rPr>
          <w:rFonts w:ascii="Verdana" w:hAnsi="Verdana" w:cs="Verdana"/>
          <w:b/>
        </w:rPr>
      </w:pPr>
      <w:r>
        <w:rPr>
          <w:rFonts w:cs="Verdana" w:ascii="Verdana" w:hAnsi="Verdana"/>
          <w:b/>
          <w:sz w:val="20"/>
        </w:rPr>
        <w:t xml:space="preserve">9.2 – </w:t>
      </w:r>
      <w:r>
        <w:rPr>
          <w:rFonts w:cs="Verdana" w:ascii="Verdana" w:hAnsi="Verdana"/>
          <w:sz w:val="20"/>
        </w:rPr>
        <w:t xml:space="preserve">A execução deste Contrato será acompanhada pela fiscal citada, </w:t>
      </w:r>
      <w:r>
        <w:rPr>
          <w:rFonts w:eastAsia="Batang;바탕" w:cs="Verdana" w:ascii="Verdana" w:hAnsi="Verdana"/>
          <w:sz w:val="20"/>
        </w:rPr>
        <w:t>que deverá atestar a realização dos serviços, para cumprimento das normas estabelecidas nos Artigos 62 e 63 da Lei nº 4.320/64.</w:t>
      </w:r>
    </w:p>
    <w:p>
      <w:pPr>
        <w:pStyle w:val="Normal"/>
        <w:tabs>
          <w:tab w:val="clear" w:pos="708"/>
          <w:tab w:val="left" w:pos="142" w:leader="none"/>
        </w:tabs>
        <w:spacing w:lineRule="auto" w:line="276"/>
        <w:jc w:val="both"/>
        <w:rPr>
          <w:rFonts w:ascii="Verdana" w:hAnsi="Verdana" w:cs="Verdana"/>
          <w:b/>
          <w:bCs/>
        </w:rPr>
      </w:pPr>
      <w:r>
        <w:rPr>
          <w:rFonts w:cs="Verdana" w:ascii="Verdana" w:hAnsi="Verdana"/>
          <w:b/>
        </w:rPr>
        <w:t xml:space="preserve">9.3 – </w:t>
      </w:r>
      <w:r>
        <w:rPr>
          <w:rFonts w:cs="Verdana" w:ascii="Verdana" w:hAnsi="Verdana"/>
        </w:rPr>
        <w:t>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142" w:leader="none"/>
        </w:tabs>
        <w:spacing w:lineRule="auto" w:line="276"/>
        <w:jc w:val="both"/>
        <w:rPr>
          <w:rFonts w:ascii="Verdana" w:hAnsi="Verdana"/>
          <w:b/>
          <w:bCs/>
        </w:rPr>
      </w:pPr>
      <w:r>
        <w:rPr>
          <w:rFonts w:cs="Verdana" w:ascii="Verdana" w:hAnsi="Verdana"/>
          <w:b/>
          <w:bCs/>
        </w:rPr>
        <w:t xml:space="preserve">9.4 – </w:t>
      </w:r>
      <w:r>
        <w:rPr>
          <w:rFonts w:cs="Verdana" w:ascii="Verdana" w:hAnsi="Verdana"/>
        </w:rPr>
        <w:t>A fiscalização deverá se atentar para o disposto no Art. 50, da Lei Federal nº 14.133, de 1º de abril de 2021.</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widowControl/>
        <w:tabs>
          <w:tab w:val="clear" w:pos="708"/>
          <w:tab w:val="left" w:pos="142" w:leader="none"/>
        </w:tabs>
        <w:suppressAutoHyphens w:val="true"/>
        <w:bidi w:val="0"/>
        <w:spacing w:lineRule="auto" w:line="240" w:before="0" w:after="0"/>
        <w:ind w:hanging="0" w:left="1701" w:right="0"/>
        <w:jc w:val="both"/>
        <w:textAlignment w:val="baseline"/>
        <w:rPr/>
      </w:pPr>
      <w:r>
        <w:rPr>
          <w:rStyle w:val="Strong"/>
          <w:rFonts w:cs="Verdana" w:ascii="Verdana" w:hAnsi="Verdana"/>
          <w:i/>
          <w:iCs/>
        </w:rPr>
        <w:t xml:space="preserve">Art. 50 </w:t>
      </w:r>
      <w:r>
        <w:rPr>
          <w:rFonts w:cs="Verdana" w:ascii="Verdana" w:hAnsi="Verdana"/>
          <w:b/>
          <w:bCs/>
          <w:i/>
          <w:iCs/>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pPr>
        <w:pStyle w:val="Normal"/>
        <w:widowControl/>
        <w:suppressAutoHyphens w:val="true"/>
        <w:bidi w:val="0"/>
        <w:spacing w:lineRule="auto" w:line="240" w:before="0" w:after="0"/>
        <w:ind w:hanging="0" w:left="1701" w:right="0"/>
        <w:textAlignment w:val="baseline"/>
        <w:rPr/>
      </w:pPr>
      <w:r>
        <w:rPr>
          <w:rStyle w:val="Strong"/>
          <w:rFonts w:cs="Verdana" w:ascii="Verdana" w:hAnsi="Verdana"/>
          <w:i/>
          <w:iCs/>
        </w:rPr>
        <w:t xml:space="preserve">I – </w:t>
      </w:r>
      <w:r>
        <w:rPr>
          <w:rFonts w:cs="Verdana" w:ascii="Verdana" w:hAnsi="Verdana"/>
          <w:b/>
          <w:bCs/>
          <w:i/>
          <w:iCs/>
        </w:rPr>
        <w:t>registro de ponto;</w:t>
      </w:r>
    </w:p>
    <w:p>
      <w:pPr>
        <w:pStyle w:val="Normal"/>
        <w:widowControl/>
        <w:suppressAutoHyphens w:val="true"/>
        <w:bidi w:val="0"/>
        <w:spacing w:lineRule="auto" w:line="240" w:before="0" w:after="0"/>
        <w:ind w:hanging="0" w:left="1701" w:right="0"/>
        <w:textAlignment w:val="baseline"/>
        <w:rPr/>
      </w:pPr>
      <w:r>
        <w:rPr>
          <w:rStyle w:val="Strong"/>
          <w:rFonts w:cs="Verdana" w:ascii="Verdana" w:hAnsi="Verdana"/>
          <w:i/>
          <w:iCs/>
        </w:rPr>
        <w:t xml:space="preserve">II – </w:t>
      </w:r>
      <w:r>
        <w:rPr>
          <w:rFonts w:cs="Verdana" w:ascii="Verdana" w:hAnsi="Verdana"/>
          <w:b/>
          <w:bCs/>
          <w:i/>
          <w:iCs/>
        </w:rPr>
        <w:t>recibo de pagamento de salários, adicionais, horas extras, repouso semanal remunerado e décimo terceiro salário;</w:t>
      </w:r>
    </w:p>
    <w:p>
      <w:pPr>
        <w:pStyle w:val="Normal"/>
        <w:widowControl/>
        <w:suppressAutoHyphens w:val="true"/>
        <w:bidi w:val="0"/>
        <w:spacing w:lineRule="auto" w:line="240" w:before="0" w:after="0"/>
        <w:ind w:hanging="0" w:left="1701" w:right="0"/>
        <w:textAlignment w:val="baseline"/>
        <w:rPr/>
      </w:pPr>
      <w:r>
        <w:rPr>
          <w:rStyle w:val="Strong"/>
          <w:rFonts w:cs="Verdana" w:ascii="Verdana" w:hAnsi="Verdana"/>
          <w:i/>
          <w:iCs/>
        </w:rPr>
        <w:t xml:space="preserve">III – </w:t>
      </w:r>
      <w:r>
        <w:rPr>
          <w:rFonts w:cs="Verdana" w:ascii="Verdana" w:hAnsi="Verdana"/>
          <w:b/>
          <w:bCs/>
          <w:i/>
          <w:iCs/>
        </w:rPr>
        <w:t>comprovante de depósito do FGTS;</w:t>
      </w:r>
    </w:p>
    <w:p>
      <w:pPr>
        <w:pStyle w:val="Normal"/>
        <w:widowControl/>
        <w:suppressAutoHyphens w:val="true"/>
        <w:bidi w:val="0"/>
        <w:spacing w:lineRule="auto" w:line="240" w:before="0" w:after="0"/>
        <w:ind w:hanging="0" w:left="1701" w:right="0"/>
        <w:textAlignment w:val="baseline"/>
        <w:rPr/>
      </w:pPr>
      <w:r>
        <w:rPr>
          <w:rStyle w:val="Strong"/>
          <w:rFonts w:cs="Verdana" w:ascii="Verdana" w:hAnsi="Verdana"/>
          <w:i/>
          <w:iCs/>
        </w:rPr>
        <w:t xml:space="preserve">IV – </w:t>
      </w:r>
      <w:r>
        <w:rPr>
          <w:rFonts w:cs="Verdana" w:ascii="Verdana" w:hAnsi="Verdana"/>
          <w:b/>
          <w:bCs/>
          <w:i/>
          <w:iCs/>
        </w:rPr>
        <w:t>recibo de concessão e pagamento de férias e do respectivo adicional;</w:t>
      </w:r>
    </w:p>
    <w:p>
      <w:pPr>
        <w:pStyle w:val="Normal"/>
        <w:widowControl/>
        <w:suppressAutoHyphens w:val="true"/>
        <w:bidi w:val="0"/>
        <w:spacing w:lineRule="auto" w:line="240" w:before="0" w:after="0"/>
        <w:ind w:hanging="0" w:left="1701" w:right="0"/>
        <w:textAlignment w:val="baseline"/>
        <w:rPr/>
      </w:pPr>
      <w:r>
        <w:rPr>
          <w:rStyle w:val="Strong"/>
          <w:rFonts w:cs="Verdana" w:ascii="Verdana" w:hAnsi="Verdana"/>
          <w:i/>
          <w:iCs/>
        </w:rPr>
        <w:t xml:space="preserve">V – </w:t>
      </w:r>
      <w:r>
        <w:rPr>
          <w:rFonts w:cs="Verdana" w:ascii="Verdana" w:hAnsi="Verdana"/>
          <w:b/>
          <w:bCs/>
          <w:i/>
          <w:iCs/>
        </w:rPr>
        <w:t>recibo de quitação de obrigações trabalhistas e previdenciárias dos empregados dispensados até a data da extinção do contrato;</w:t>
      </w:r>
    </w:p>
    <w:p>
      <w:pPr>
        <w:pStyle w:val="Normal"/>
        <w:widowControl/>
        <w:suppressAutoHyphens w:val="true"/>
        <w:bidi w:val="0"/>
        <w:spacing w:lineRule="auto" w:line="240" w:before="0" w:after="0"/>
        <w:ind w:hanging="0" w:left="1701" w:right="0"/>
        <w:textAlignment w:val="baseline"/>
        <w:rPr/>
      </w:pPr>
      <w:r>
        <w:rPr>
          <w:rStyle w:val="Strong"/>
          <w:rFonts w:cs="Verdana" w:ascii="Verdana" w:hAnsi="Verdana"/>
          <w:i/>
          <w:iCs/>
        </w:rPr>
        <w:t xml:space="preserve">VI – </w:t>
      </w:r>
      <w:r>
        <w:rPr>
          <w:rFonts w:cs="Verdana" w:ascii="Verdana" w:hAnsi="Verdana"/>
          <w:b/>
          <w:bCs/>
          <w:i/>
          <w:iCs/>
        </w:rPr>
        <w:t>recibo de pagamento de vale-transporte e vale-alimentação, na forma prevista em norma coletiva.</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spacing w:lineRule="auto" w:line="276"/>
        <w:jc w:val="both"/>
        <w:rPr>
          <w:rFonts w:ascii="Verdana" w:hAnsi="Verdana" w:cs="Verdana"/>
          <w:b/>
        </w:rPr>
      </w:pPr>
      <w:r>
        <w:rPr>
          <w:rFonts w:cs="Verdana" w:ascii="Verdana" w:hAnsi="Verdana"/>
          <w:b/>
          <w:u w:val="single"/>
        </w:rPr>
        <w:t>CLÁUSULA DÉCIMA – DAS PENALIDADES.</w:t>
      </w:r>
    </w:p>
    <w:p>
      <w:pPr>
        <w:pStyle w:val="Corpodetexto1"/>
        <w:overflowPunct w:val="false"/>
        <w:spacing w:lineRule="auto" w:line="276" w:before="0" w:after="0"/>
        <w:jc w:val="both"/>
        <w:textAlignment w:val="auto"/>
        <w:rPr>
          <w:rFonts w:ascii="Verdana" w:hAnsi="Verdana" w:cs="Verdana"/>
          <w:b/>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rFonts w:ascii="Verdana" w:hAnsi="Verdana" w:cs="Verdana"/>
          <w:b/>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rFonts w:ascii="Verdana" w:hAnsi="Verdana" w:eastAsia="Batang;바탕" w:cs="Verdana"/>
          <w:b/>
          <w:bCs/>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rFonts w:ascii="Verdana" w:hAnsi="Verdana" w:eastAsia="Batang;바탕" w:cs="Verdana"/>
          <w:b/>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ind w:firstLine="10"/>
        <w:jc w:val="both"/>
        <w:rPr>
          <w:rFonts w:ascii="Verdana" w:hAnsi="Verdana" w:eastAsia="Batang;바탕" w:cs="Verdana"/>
          <w:b/>
          <w:bCs/>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rFonts w:ascii="Verdana" w:hAnsi="Verdana" w:cs="Verdana"/>
          <w:b/>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rFonts w:ascii="Verdana" w:hAnsi="Verdana" w:cs="Verdana"/>
          <w:b/>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rFonts w:ascii="Verdana" w:hAnsi="Verdana" w:cs="Verdana"/>
          <w:b/>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false"/>
        <w:spacing w:lineRule="auto" w:line="276"/>
        <w:jc w:val="both"/>
        <w:textAlignment w:val="auto"/>
        <w:rPr>
          <w:rFonts w:ascii="Verdana" w:hAnsi="Verdana" w:cs="Verdana"/>
          <w:b/>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false"/>
        <w:spacing w:lineRule="auto" w:line="276"/>
        <w:jc w:val="both"/>
        <w:textAlignment w:val="auto"/>
        <w:rPr>
          <w:rFonts w:ascii="Verdana" w:hAnsi="Verdana"/>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spacing w:lineRule="auto" w:line="276"/>
        <w:jc w:val="both"/>
        <w:rPr>
          <w:rFonts w:ascii="Verdana" w:hAnsi="Verdana" w:cs="Verdana"/>
          <w:b/>
        </w:rPr>
      </w:pPr>
      <w:r>
        <w:rPr>
          <w:rFonts w:cs="Verdana" w:ascii="Verdana" w:hAnsi="Verdana"/>
          <w:b/>
          <w:u w:val="single"/>
        </w:rPr>
        <w:t>CLÁUSULA DÉCIMA PRIMEIRA – RESCISÃO DO CONTRATO</w:t>
      </w:r>
    </w:p>
    <w:p>
      <w:pPr>
        <w:pStyle w:val="Normal"/>
        <w:spacing w:lineRule="auto" w:line="276"/>
        <w:jc w:val="both"/>
        <w:rPr>
          <w:rFonts w:ascii="Verdana" w:hAnsi="Verdana" w:cs="Verdana"/>
          <w:b/>
        </w:rPr>
      </w:pPr>
      <w:r>
        <w:rPr>
          <w:rFonts w:cs="Verdana" w:ascii="Verdana" w:hAnsi="Verdana"/>
          <w:b/>
        </w:rPr>
        <w:t xml:space="preserve">11.1 </w:t>
      </w:r>
      <w:r>
        <w:rPr>
          <w:rFonts w:cs="Verdana" w:ascii="Verdana" w:hAnsi="Verdana"/>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jc w:val="both"/>
        <w:rPr>
          <w:rFonts w:ascii="Verdana" w:hAnsi="Verdana" w:cs="Verdana"/>
          <w:b/>
          <w:bCs/>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a) </w:t>
      </w:r>
      <w:r>
        <w:rPr>
          <w:rFonts w:cs="Verdana" w:ascii="Verdana" w:hAnsi="Verdana"/>
        </w:rPr>
        <w:t>O não cumprimento de cláusulas contratuais, especificações ou prazos;</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b) </w:t>
      </w:r>
      <w:r>
        <w:rPr>
          <w:rFonts w:cs="Verdana" w:ascii="Verdana" w:hAnsi="Verdana"/>
        </w:rPr>
        <w:t>O cumprimento irregular de cláusulas contratuais, especificações ou prazos;</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c) </w:t>
      </w:r>
      <w:r>
        <w:rPr>
          <w:rFonts w:cs="Verdana" w:ascii="Verdana" w:hAnsi="Verdana"/>
        </w:rPr>
        <w:t>A subcontratação do seu objeto, sem a devida autorização do CONTRATANTE;</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d) </w:t>
      </w:r>
      <w:r>
        <w:rPr>
          <w:rFonts w:cs="Verdana" w:ascii="Verdana" w:hAnsi="Verdana"/>
        </w:rPr>
        <w:t>A decretação de falência ou instauração de insolvência civil;</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e) </w:t>
      </w:r>
      <w:r>
        <w:rPr>
          <w:rFonts w:cs="Verdana" w:ascii="Verdana" w:hAnsi="Verdana"/>
        </w:rPr>
        <w:t>A dissolução da sociedade;</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f) </w:t>
      </w:r>
      <w:r>
        <w:rPr>
          <w:rFonts w:cs="Verdana" w:ascii="Verdana" w:hAnsi="Verdana"/>
        </w:rPr>
        <w:t>A alteração social ou modificação da finalidade ou da estrutura da empresa que, a juízo da CONTRATANTE, prejudique a execução do contrato;</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g) </w:t>
      </w: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b/>
          <w:bCs/>
        </w:rPr>
        <w:t xml:space="preserve">h) </w:t>
      </w:r>
      <w:r>
        <w:rPr>
          <w:rFonts w:cs="Verdana" w:ascii="Verdana" w:hAnsi="Verdana"/>
        </w:rPr>
        <w:t>A ocorrência de caso fortuito ou de força maior, regularmente comprovada, impeditiva da execução do contrato;</w:t>
      </w:r>
    </w:p>
    <w:p>
      <w:pPr>
        <w:pStyle w:val="Normal"/>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b/>
          <w:bCs/>
        </w:rPr>
        <w:t>i)</w:t>
      </w:r>
      <w:r>
        <w:rPr>
          <w:rFonts w:cs="Verdana" w:ascii="Verdana" w:hAnsi="Verdana"/>
        </w:rPr>
        <w:t xml:space="preserve"> A decisão da autoridade competente, relativa à rescisão do contrato, deverá ser precedida de justificativa fundamentada, assegurado o contraditório e a ampla defesa.</w:t>
      </w:r>
    </w:p>
    <w:p>
      <w:pPr>
        <w:pStyle w:val="Normal"/>
        <w:spacing w:lineRule="auto" w:line="276"/>
        <w:jc w:val="both"/>
        <w:rPr>
          <w:rFonts w:ascii="Verdana" w:hAnsi="Verdana" w:cs="Verdana"/>
        </w:rPr>
      </w:pPr>
      <w:r>
        <w:rPr>
          <w:rFonts w:cs="Verdana" w:ascii="Verdana" w:hAnsi="Verdana"/>
          <w:b/>
        </w:rPr>
        <w:t xml:space="preserve">11.1.2 </w:t>
      </w:r>
      <w:r>
        <w:rPr>
          <w:rFonts w:cs="Verdana" w:ascii="Verdana" w:hAnsi="Verdana"/>
          <w:b/>
          <w:bCs/>
        </w:rPr>
        <w:t>A rescisão do contrato poderá ser:</w:t>
      </w:r>
    </w:p>
    <w:p>
      <w:pPr>
        <w:pStyle w:val="Normal"/>
        <w:numPr>
          <w:ilvl w:val="0"/>
          <w:numId w:val="0"/>
        </w:numPr>
        <w:tabs>
          <w:tab w:val="clear" w:pos="708"/>
          <w:tab w:val="left" w:pos="400" w:leader="none"/>
        </w:tabs>
        <w:overflowPunct w:val="false"/>
        <w:spacing w:lineRule="auto" w:line="276"/>
        <w:ind w:hanging="0" w:left="0"/>
        <w:jc w:val="both"/>
        <w:textAlignment w:val="auto"/>
        <w:rPr>
          <w:rFonts w:ascii="Verdana" w:hAnsi="Verdana" w:cs="Verdana"/>
        </w:rPr>
      </w:pPr>
      <w:r>
        <w:rPr>
          <w:rFonts w:cs="Verdana" w:ascii="Verdana" w:hAnsi="Verdana"/>
          <w:b/>
          <w:bCs/>
        </w:rPr>
        <w:t>a)</w:t>
      </w:r>
      <w:r>
        <w:rPr>
          <w:rFonts w:cs="Verdana" w:ascii="Verdana" w:hAnsi="Verdana"/>
        </w:rPr>
        <w:t xml:space="preserve"> Determinada por ato unilateral e escrito do CONTRATANTE, nos casos específicos enumerados neste contrato, ou razões de interesse público justificado;</w:t>
      </w:r>
    </w:p>
    <w:p>
      <w:pPr>
        <w:pStyle w:val="Normal"/>
        <w:numPr>
          <w:ilvl w:val="0"/>
          <w:numId w:val="0"/>
        </w:numPr>
        <w:tabs>
          <w:tab w:val="clear" w:pos="708"/>
          <w:tab w:val="left" w:pos="400" w:leader="none"/>
        </w:tabs>
        <w:overflowPunct w:val="false"/>
        <w:spacing w:lineRule="auto" w:line="276"/>
        <w:ind w:hanging="0" w:left="0"/>
        <w:jc w:val="both"/>
        <w:textAlignment w:val="auto"/>
        <w:rPr>
          <w:rFonts w:ascii="Verdana" w:hAnsi="Verdana" w:cs="Verdana"/>
        </w:rPr>
      </w:pPr>
      <w:r>
        <w:rPr>
          <w:rFonts w:cs="Verdana" w:ascii="Verdana" w:hAnsi="Verdana"/>
          <w:b/>
          <w:bCs/>
        </w:rPr>
        <w:t>b)</w:t>
      </w:r>
      <w:r>
        <w:rPr>
          <w:rFonts w:cs="Verdana" w:ascii="Verdana" w:hAnsi="Verdana"/>
        </w:rPr>
        <w:t xml:space="preserve"> Amigável, por acordo entre as partes e reduzido a termo no processo, desde que haja conveniência para a Administração;</w:t>
      </w:r>
    </w:p>
    <w:p>
      <w:pPr>
        <w:pStyle w:val="Normal"/>
        <w:numPr>
          <w:ilvl w:val="0"/>
          <w:numId w:val="0"/>
        </w:numPr>
        <w:tabs>
          <w:tab w:val="clear" w:pos="708"/>
          <w:tab w:val="left" w:pos="400" w:leader="none"/>
        </w:tabs>
        <w:overflowPunct w:val="false"/>
        <w:spacing w:lineRule="auto" w:line="276"/>
        <w:ind w:hanging="0" w:left="0"/>
        <w:jc w:val="both"/>
        <w:textAlignment w:val="auto"/>
        <w:rPr>
          <w:rFonts w:ascii="Verdana" w:hAnsi="Verdana" w:cs="Verdana"/>
          <w:b/>
        </w:rPr>
      </w:pPr>
      <w:r>
        <w:rPr>
          <w:rFonts w:cs="Verdana" w:ascii="Verdana" w:hAnsi="Verdana"/>
          <w:b/>
          <w:bCs/>
        </w:rPr>
        <w:t>c)</w:t>
      </w:r>
      <w:r>
        <w:rPr>
          <w:rFonts w:cs="Verdana" w:ascii="Verdana" w:hAnsi="Verdana"/>
        </w:rPr>
        <w:t xml:space="preserve"> Judicial, nos termos da legislação.</w:t>
      </w:r>
    </w:p>
    <w:p>
      <w:pPr>
        <w:pStyle w:val="Normal"/>
        <w:spacing w:lineRule="auto" w:line="276"/>
        <w:jc w:val="both"/>
        <w:rPr>
          <w:rFonts w:ascii="Verdana" w:hAnsi="Verdana" w:cs="Verdana"/>
          <w:b/>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rFonts w:ascii="Verdana" w:hAnsi="Verdana"/>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DÉCIMA SEGUNDA – DA LEGISLAÇÃO APLICÁVEL</w:t>
      </w:r>
    </w:p>
    <w:p>
      <w:pPr>
        <w:pStyle w:val="Normal"/>
        <w:spacing w:lineRule="auto" w:line="276"/>
        <w:jc w:val="both"/>
        <w:rPr>
          <w:rFonts w:ascii="Verdana" w:hAnsi="Verdana"/>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spacing w:lineRule="auto" w:line="276"/>
        <w:jc w:val="both"/>
        <w:rPr>
          <w:rFonts w:ascii="Verdana" w:hAnsi="Verdana"/>
        </w:rPr>
      </w:pPr>
      <w:r>
        <w:rPr>
          <w:rFonts w:ascii="Verdana" w:hAnsi="Verdana"/>
        </w:rPr>
      </w:r>
    </w:p>
    <w:p>
      <w:pPr>
        <w:pStyle w:val="Normal"/>
        <w:tabs>
          <w:tab w:val="clear" w:pos="708"/>
          <w:tab w:val="left" w:pos="-2268" w:leader="none"/>
        </w:tabs>
        <w:spacing w:lineRule="auto" w:line="276"/>
        <w:jc w:val="both"/>
        <w:rPr>
          <w:rFonts w:ascii="Verdana" w:hAnsi="Verdana" w:cs="Verdana"/>
          <w:b/>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rFonts w:ascii="Verdana" w:hAnsi="Verdana"/>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Heading4"/>
        <w:numPr>
          <w:ilvl w:val="0"/>
          <w:numId w:val="0"/>
        </w:numPr>
        <w:spacing w:lineRule="auto" w:line="276" w:before="0" w:after="0"/>
        <w:ind w:hanging="0" w:left="0"/>
        <w:jc w:val="both"/>
        <w:rPr>
          <w:rFonts w:ascii="Verdana" w:hAnsi="Verdana" w:cs="Verdana"/>
          <w:sz w:val="20"/>
          <w:szCs w:val="20"/>
        </w:rPr>
      </w:pPr>
      <w:r>
        <w:rPr>
          <w:rFonts w:cs="Verdana" w:ascii="Verdana" w:hAnsi="Verdana"/>
          <w:sz w:val="20"/>
          <w:szCs w:val="20"/>
          <w:u w:val="single"/>
        </w:rPr>
        <w:t>CLÁUSULA DÉCIMA QUARTA – DO ADITAMENTO</w:t>
      </w:r>
    </w:p>
    <w:p>
      <w:pPr>
        <w:pStyle w:val="Normal"/>
        <w:spacing w:lineRule="auto" w:line="276"/>
        <w:jc w:val="both"/>
        <w:rPr>
          <w:rFonts w:ascii="Verdana" w:hAnsi="Verdana"/>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DÉCIMA QUINTA – DA PUBLICAÇÃO</w:t>
      </w:r>
    </w:p>
    <w:p>
      <w:pPr>
        <w:pStyle w:val="Normal"/>
        <w:spacing w:lineRule="auto" w:line="276"/>
        <w:jc w:val="both"/>
        <w:rPr>
          <w:rFonts w:ascii="Verdana" w:hAnsi="Verdana"/>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Heading3"/>
        <w:numPr>
          <w:ilvl w:val="0"/>
          <w:numId w:val="0"/>
        </w:numPr>
        <w:spacing w:lineRule="auto" w:line="276"/>
        <w:ind w:hanging="0" w:left="0"/>
        <w:rPr>
          <w:rFonts w:ascii="Verdana" w:hAnsi="Verdana" w:cs="Verdana"/>
          <w:b/>
          <w:sz w:val="20"/>
        </w:rPr>
      </w:pPr>
      <w:r>
        <w:rPr>
          <w:rFonts w:cs="Verdana" w:ascii="Verdana" w:hAnsi="Verdana"/>
          <w:b/>
          <w:sz w:val="20"/>
          <w:u w:val="single"/>
        </w:rPr>
        <w:t>CLÁUSULA DÉCIMA SEXTA – FORO</w:t>
      </w:r>
    </w:p>
    <w:p>
      <w:pPr>
        <w:pStyle w:val="Normal"/>
        <w:spacing w:lineRule="auto" w:line="276"/>
        <w:jc w:val="both"/>
        <w:rPr>
          <w:rFonts w:ascii="Verdana" w:hAnsi="Verdana" w:cs="Verdana"/>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cs="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cs="Verdana"/>
        </w:rPr>
      </w:pPr>
      <w:r>
        <w:rPr>
          <w:rFonts w:cs="Verdana" w:ascii="Verdana" w:hAnsi="Verdana"/>
        </w:rPr>
        <w:t>São Gabriel da Palha, em .............. de 2025.</w:t>
      </w:r>
    </w:p>
    <w:p>
      <w:pPr>
        <w:pStyle w:val="Normal"/>
        <w:spacing w:lineRule="auto" w:line="276"/>
        <w:jc w:val="center"/>
        <w:rPr>
          <w:rFonts w:ascii="Verdana" w:hAnsi="Verdana" w:cs="Verdana"/>
        </w:rPr>
      </w:pPr>
      <w:r>
        <w:rPr>
          <w:rFonts w:cs="Verdana" w:ascii="Verdana" w:hAnsi="Verdana"/>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Prefeito Municipal</w:t>
      </w:r>
    </w:p>
    <w:p>
      <w:pPr>
        <w:pStyle w:val="Normal"/>
        <w:spacing w:lineRule="auto" w:line="276"/>
        <w:jc w:val="center"/>
        <w:rPr>
          <w:rFonts w:ascii="Verdana" w:hAnsi="Verdana" w:cs="Verdana"/>
          <w:b/>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vAlign w:val="center"/>
          </w:tcPr>
          <w:p>
            <w:pPr>
              <w:pStyle w:val="Normal"/>
              <w:widowControl w:val="false"/>
              <w:spacing w:lineRule="auto" w:line="276"/>
              <w:rPr>
                <w:b/>
                <w:bCs/>
              </w:rPr>
            </w:pPr>
            <w:r>
              <w:rPr>
                <w:rFonts w:cs="Verdana" w:ascii="Verdana" w:hAnsi="Verdana"/>
                <w:b/>
                <w:bCs/>
              </w:rPr>
              <w:t>Testemunhas:</w:t>
            </w:r>
          </w:p>
        </w:tc>
        <w:tc>
          <w:tcPr>
            <w:tcW w:w="721" w:type="dxa"/>
            <w:tcBorders/>
            <w:vAlign w:val="center"/>
          </w:tcPr>
          <w:p>
            <w:pPr>
              <w:pStyle w:val="Normal"/>
              <w:widowControl w:val="false"/>
              <w:snapToGrid w:val="false"/>
              <w:spacing w:lineRule="auto" w:line="276"/>
              <w:rPr>
                <w:rFonts w:ascii="Verdana" w:hAnsi="Verdana" w:cs="Verdana"/>
                <w:b/>
                <w:bCs/>
              </w:rPr>
            </w:pPr>
            <w:r>
              <w:rPr>
                <w:rFonts w:cs="Verdana" w:ascii="Verdana" w:hAnsi="Verdana"/>
                <w:b/>
                <w:bCs/>
              </w:rPr>
            </w:r>
          </w:p>
        </w:tc>
        <w:tc>
          <w:tcPr>
            <w:tcW w:w="4392" w:type="dxa"/>
            <w:tcBorders/>
            <w:vAlign w:val="center"/>
          </w:tcPr>
          <w:p>
            <w:pPr>
              <w:pStyle w:val="Normal"/>
              <w:widowControl w:val="false"/>
              <w:spacing w:lineRule="auto" w:line="276"/>
              <w:rPr>
                <w:b/>
                <w:bCs/>
              </w:rPr>
            </w:pPr>
            <w:r>
              <w:rPr>
                <w:rFonts w:cs="Verdana" w:ascii="Verdana" w:hAnsi="Verdana"/>
                <w:b/>
                <w:bCs/>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134" w:gutter="0" w:header="284" w:top="1843" w:footer="250" w:bottom="75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 xml:space="preserve">Telefax 0(xx) 27 3727-1366. </w:t>
    </w: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 xml:space="preserve">Telefax 0(xx) 27 3727-1366. </w:t>
    </w: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rPr>
        <w:rFonts w:ascii="Arial" w:hAnsi="Arial" w:cs="Arial"/>
        <w:b/>
      </w:rPr>
    </w:pPr>
    <w:r>
      <w:rPr>
        <w:rFonts w:cs="Arial" w:ascii="Arial" w:hAnsi="Arial"/>
        <w:b/>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rPr>
        <w:rFonts w:ascii="Arial" w:hAnsi="Arial" w:cs="Arial"/>
        <w:b/>
      </w:rPr>
    </w:pPr>
    <w:r>
      <w:rPr>
        <w:rFonts w:cs="Arial" w:ascii="Arial" w:hAnsi="Arial"/>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3">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Arial" w:hAnsi="Arial"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InternetLink">
    <w:name w:val="Internet Link"/>
    <w:qFormat/>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1">
    <w:name w:val="Internet Link1"/>
    <w:qFormat/>
    <w:rPr>
      <w:color w:val="000080"/>
      <w:u w:val="single"/>
    </w:rPr>
  </w:style>
  <w:style w:type="character" w:styleId="Hyperlink">
    <w:name w:val="Hyperlink"/>
    <w:rPr>
      <w:color w:val="000080"/>
      <w:u w:val="single"/>
    </w:rPr>
  </w:style>
  <w:style w:type="character" w:styleId="InternetLink2">
    <w:name w:val="Internet Link2"/>
    <w:qFormat/>
    <w:rPr>
      <w:color w:val="000080"/>
      <w:u w:val="single"/>
    </w:rPr>
  </w:style>
  <w:style w:type="character" w:styleId="InternetLink11">
    <w:name w:val="Internet Link11"/>
    <w:qFormat/>
    <w:rPr>
      <w:color w:val="000080"/>
      <w:u w:val="single"/>
    </w:rPr>
  </w:style>
  <w:style w:type="character" w:styleId="FollowedHyperlink">
    <w:name w:val="FollowedHyperlink"/>
    <w:basedOn w:val="DefaultParagraphFont"/>
    <w:rPr>
      <w:color w:themeColor="followedHyperlink" w:val="954F72"/>
      <w:u w:val="single"/>
    </w:rPr>
  </w:style>
  <w:style w:type="character" w:styleId="UnresolvedMention">
    <w:name w:val="Unresolved Mention"/>
    <w:basedOn w:val="DefaultParagraphFont"/>
    <w:qFormat/>
    <w:rPr>
      <w:color w:val="605E5C"/>
      <w:shd w:fill="E1DFDD" w:val="clear"/>
    </w:rPr>
  </w:style>
  <w:style w:type="character" w:styleId="Nivel4Char">
    <w:name w:val="Nivel 4 Char"/>
    <w:basedOn w:val="DefaultParagraphFont"/>
    <w:qFormat/>
    <w:rPr>
      <w:rFonts w:ascii="Ecofont_Spranq_eco_Sans" w:hAnsi="Ecofont_Spranq_eco_Sans" w:eastAsia="Arial Unicode MS" w:cs="Arial"/>
      <w:lang w:eastAsia="pt-BR"/>
    </w:rPr>
  </w:style>
  <w:style w:type="character" w:styleId="Nivel1Char">
    <w:name w:val="Nivel1 Char"/>
    <w:basedOn w:val="Ttulo1Char"/>
    <w:qFormat/>
    <w:rPr>
      <w:rFonts w:ascii="Arial" w:hAnsi="Arial" w:eastAsia="Segoe UI" w:cs="Arial"/>
      <w:b/>
      <w:bCs w:val="false"/>
      <w:color w:val="000000"/>
      <w:sz w:val="28"/>
      <w:szCs w:val="28"/>
      <w:lang w:eastAsia="pt-BR"/>
    </w:rPr>
  </w:style>
  <w:style w:type="character" w:styleId="spellingerror">
    <w:name w:val="spellingerror"/>
    <w:basedOn w:val="DefaultParagraphFont"/>
    <w:qFormat/>
    <w:rPr/>
  </w:style>
  <w:style w:type="character" w:styleId="eop">
    <w:name w:val="eop"/>
    <w:basedOn w:val="DefaultParagraphFont"/>
    <w:qFormat/>
    <w:rPr/>
  </w:style>
  <w:style w:type="character" w:styleId="normaltextrun">
    <w:name w:val="normaltextrun"/>
    <w:basedOn w:val="DefaultParagraphFont"/>
    <w:qFormat/>
    <w:rPr/>
  </w:style>
  <w:style w:type="character" w:styleId="QuoteChar">
    <w:name w:val="Quote Char"/>
    <w:basedOn w:val="DefaultParagraphFont"/>
    <w:qFormat/>
    <w:rPr>
      <w:rFonts w:ascii="Ecofont_Spranq_eco_Sans" w:hAnsi="Ecofont_Spranq_eco_Sans" w:eastAsia="Calibri" w:cs="Tahoma"/>
      <w:i/>
      <w:iCs/>
      <w:color w:val="000000"/>
      <w:shd w:fill="FFFFCC" w:val="clear"/>
    </w:rPr>
  </w:style>
  <w:style w:type="character" w:styleId="Nivel01TituloChar">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Nivel01Char">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Char">
    <w:name w:val="Título Char"/>
    <w:basedOn w:val="DefaultParagraphFont"/>
    <w:qFormat/>
    <w:rPr>
      <w:rFonts w:ascii="Calibri" w:hAnsi="Calibri" w:eastAsia="Segoe UI" w:cs="Times New Roman"/>
      <w:color w:val="17365D"/>
      <w:spacing w:val="5"/>
      <w:kern w:val="2"/>
      <w:sz w:val="52"/>
      <w:szCs w:val="52"/>
      <w:lang w:eastAsia="pt-BR"/>
    </w:rPr>
  </w:style>
  <w:style w:type="character" w:styleId="citao2Char">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itaoChar">
    <w:name w:val="Citação Char"/>
    <w:qFormat/>
    <w:rPr>
      <w:rFonts w:ascii="Arial" w:hAnsi="Arial" w:eastAsia="Calibri" w:cs="Tahoma"/>
      <w:i/>
      <w:iCs/>
      <w:color w:val="000000"/>
      <w:szCs w:val="24"/>
      <w:shd w:fill="FFFFCC" w:val="clear"/>
    </w:rPr>
  </w:style>
  <w:style w:type="character" w:styleId="Hyperlink1">
    <w:name w:val="Hyperlink1"/>
    <w:qFormat/>
    <w:rPr>
      <w:color w:val="000080"/>
      <w:u w:val="single"/>
    </w:rPr>
  </w:style>
  <w:style w:type="character" w:styleId="apple-style-span">
    <w:name w:val="apple-style-span"/>
    <w:basedOn w:val="DefaultParagraphFont"/>
    <w:qFormat/>
    <w:rPr/>
  </w:style>
  <w:style w:type="character" w:styleId="normalchar1">
    <w:name w:val="normal__char1"/>
    <w:qFormat/>
    <w:rPr>
      <w:rFonts w:ascii="Arial" w:hAnsi="Arial" w:cs="Arial"/>
      <w:strike w:val="false"/>
      <w:dstrike w:val="false"/>
      <w:sz w:val="24"/>
      <w:szCs w:val="24"/>
      <w:u w:val="none"/>
      <w:effect w:val="non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caption1">
    <w:name w:val="caption1"/>
    <w:basedOn w:val="Normal"/>
    <w:qFormat/>
    <w:pPr>
      <w:suppressLineNumbers/>
      <w:spacing w:before="120" w:after="120"/>
    </w:pPr>
    <w:rPr>
      <w:rFonts w:cs="Arial"/>
      <w:i/>
      <w:iCs/>
      <w:sz w:val="24"/>
      <w:szCs w:val="24"/>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Heading1"/>
    <w:next w:val="Normal"/>
    <w:qFormat/>
    <w:pPr>
      <w:keepLines/>
      <w:numPr>
        <w:ilvl w:val="0"/>
        <w:numId w:val="4"/>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paragraph" w:styleId="Nvel2-Red">
    <w:name w:val="Nível 2 -Red"/>
    <w:basedOn w:val="Nivel2"/>
    <w:qFormat/>
    <w:pPr/>
    <w:rPr>
      <w:i/>
      <w:iCs/>
      <w:color w:val="FF0000"/>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Nivel1">
    <w:name w:val="Nivel 1"/>
    <w:basedOn w:val="Nivel2"/>
    <w:next w:val="Nivel2"/>
    <w:qFormat/>
    <w:pPr/>
    <w:rPr>
      <w:rFonts w:cs="Arial"/>
      <w:b/>
    </w:rPr>
  </w:style>
  <w:style w:type="paragraph" w:styleId="PargrafodaLista1">
    <w:name w:val="Parágrafo da Lista1"/>
    <w:basedOn w:val="Normal"/>
    <w:qFormat/>
    <w:pPr>
      <w:ind w:left="720"/>
    </w:pPr>
    <w:rPr>
      <w:rFonts w:eastAsia="Times New Roman" w:cs="Ecofont_Spranq_eco_Sans"/>
    </w:rPr>
  </w:style>
  <w:style w:type="paragraph" w:styleId="Nivel11">
    <w:name w:val="Nivel1"/>
    <w:basedOn w:val="Heading1"/>
    <w:qFormat/>
    <w:pPr>
      <w:spacing w:lineRule="auto" w:line="276"/>
      <w:ind w:hanging="357" w:left="357"/>
      <w:jc w:val="both"/>
    </w:pPr>
    <w:rPr>
      <w:rFonts w:ascii="Arial" w:hAnsi="Arial" w:cs="Arial"/>
      <w:bCs w:val="false"/>
      <w:color w:val="000000"/>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fill="FFFFCC" w:val="clear"/>
      <w:spacing w:before="120" w:after="0"/>
      <w:jc w:val="both"/>
    </w:pPr>
    <w:rPr>
      <w:rFonts w:eastAsia="Calibri"/>
      <w:i/>
      <w:iCs/>
      <w:color w:val="000000"/>
      <w:sz w:val="20"/>
      <w:szCs w:val="20"/>
      <w:lang w:eastAsia="en-US"/>
    </w:rPr>
  </w:style>
  <w:style w:type="paragraph" w:styleId="PADRO">
    <w:name w:val="PADRÃO"/>
    <w:qFormat/>
    <w:pPr>
      <w:keepNext w:val="true"/>
      <w:widowControl w:val="false"/>
      <w:shd w:fill="FFFFFF" w:val="clear"/>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Nivel01Titulo">
    <w:name w:val="Nivel_01_Titulo"/>
    <w:basedOn w:val="Nivel01"/>
    <w:qFormat/>
    <w:pPr>
      <w:jc w:val="left"/>
    </w:pPr>
    <w:rPr>
      <w:spacing w:val="5"/>
      <w:kern w:val="2"/>
      <w:sz w:val="52"/>
      <w:szCs w:val="52"/>
    </w:rPr>
  </w:style>
  <w:style w:type="paragraph" w:styleId="Cabealhoerodap3">
    <w:name w:val="Cabeçalho e rodapé3"/>
    <w:basedOn w:val="Normal"/>
    <w:qFormat/>
    <w:pPr/>
    <w:rPr/>
  </w:style>
  <w:style w:type="paragraph" w:styleId="Cabealhoerodap21">
    <w:name w:val="Cabeçalho e rodapé21"/>
    <w:basedOn w:val="Normal"/>
    <w:qFormat/>
    <w:pPr/>
    <w:rPr/>
  </w:style>
  <w:style w:type="paragraph" w:styleId="citao2">
    <w:name w:val="citação 2"/>
    <w:basedOn w:val="Quote"/>
    <w:qFormat/>
    <w:pPr/>
    <w:rPr>
      <w:szCs w:val="20"/>
    </w:rPr>
  </w:style>
  <w:style w:type="paragraph" w:styleId="ListBullet5">
    <w:name w:val="List Bullet 5"/>
    <w:basedOn w:val="Normal"/>
    <w:pPr>
      <w:numPr>
        <w:ilvl w:val="0"/>
        <w:numId w:val="1"/>
      </w:numPr>
      <w:spacing w:before="0" w:after="0"/>
      <w:contextualSpacing/>
    </w:pPr>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fill="FFFFCC" w:val="clear"/>
      <w:spacing w:before="120" w:after="0"/>
      <w:jc w:val="both"/>
    </w:pPr>
    <w:rPr>
      <w:rFonts w:ascii="Arial" w:hAnsi="Arial" w:eastAsia="Calibri"/>
      <w:i/>
      <w:iCs/>
      <w:color w:val="000000"/>
      <w:sz w:val="20"/>
      <w:lang w:eastAsia="en-US"/>
    </w:rPr>
  </w:style>
  <w:style w:type="paragraph" w:styleId="Nvel2">
    <w:name w:val="Nível 2"/>
    <w:basedOn w:val="Normal"/>
    <w:next w:val="Normal"/>
    <w:qFormat/>
    <w:pPr>
      <w:spacing w:before="0" w:after="120"/>
      <w:jc w:val="both"/>
    </w:pPr>
    <w:rPr>
      <w:rFonts w:ascii="Arial" w:hAnsi="Arial" w:cs="Times New Roman"/>
      <w:b/>
      <w:szCs w:val="20"/>
    </w:rPr>
  </w:style>
  <w:style w:type="paragraph" w:styleId="NormalWeb">
    <w:name w:val="Normal (Web)"/>
    <w:basedOn w:val="Normal"/>
    <w:qFormat/>
    <w:pPr>
      <w:spacing w:before="280" w:after="280"/>
    </w:pPr>
    <w:rPr>
      <w:rFonts w:ascii="Times New Roman" w:hAnsi="Times New Roman" w:cs="Times New Roman"/>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444</TotalTime>
  <Application>LibreOffice/24.2.6.2$Windows_X86_64 LibreOffice_project/ef66aa7e36a1bb8e65bfbc63aba53045a14d0871</Application>
  <AppVersion>15.0000</AppVersion>
  <Pages>7</Pages>
  <Words>2929</Words>
  <Characters>16782</Characters>
  <CharactersWithSpaces>19592</CharactersWithSpaces>
  <Paragraphs>143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2024-08-30T12:01:44Z</cp:lastPrinted>
  <dcterms:modified xsi:type="dcterms:W3CDTF">2025-08-26T13:26:22Z</dcterms:modified>
  <cp:revision>20</cp:revision>
  <dc:subject/>
  <dc:title>E D I T A L</dc:title>
</cp:coreProperties>
</file>

<file path=docProps/custom.xml><?xml version="1.0" encoding="utf-8"?>
<Properties xmlns="http://schemas.openxmlformats.org/officeDocument/2006/custom-properties" xmlns:vt="http://schemas.openxmlformats.org/officeDocument/2006/docPropsVTypes"/>
</file>